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CB" w:rsidRPr="00B4287C" w:rsidRDefault="00E843CB" w:rsidP="00823275">
      <w:pPr>
        <w:jc w:val="both"/>
        <w:rPr>
          <w:color w:val="000000"/>
          <w:lang w:val="sr-Latn-CS"/>
        </w:rPr>
      </w:pPr>
      <w:r w:rsidRPr="00B4287C">
        <w:rPr>
          <w:color w:val="000000"/>
          <w:lang w:val="sr-Latn-CS"/>
        </w:rPr>
        <w:t xml:space="preserve"> </w:t>
      </w:r>
    </w:p>
    <w:p w:rsidR="00E843CB" w:rsidRPr="00B4287C" w:rsidRDefault="00E843CB" w:rsidP="00823275">
      <w:pPr>
        <w:jc w:val="both"/>
        <w:rPr>
          <w:color w:val="000000"/>
          <w:lang w:val="sr-Latn-CS"/>
        </w:rPr>
      </w:pPr>
    </w:p>
    <w:p w:rsidR="00E843CB" w:rsidRPr="00B4287C" w:rsidRDefault="00E843CB" w:rsidP="00823275">
      <w:pPr>
        <w:jc w:val="both"/>
        <w:rPr>
          <w:color w:val="000000"/>
          <w:lang w:val="sr-Latn-CS"/>
        </w:rPr>
      </w:pPr>
      <w:r w:rsidRPr="00464229">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79.25pt;height:108.75pt;visibility:visible">
            <v:imagedata r:id="rId7" o:title=""/>
          </v:shape>
        </w:pict>
      </w:r>
    </w:p>
    <w:p w:rsidR="00E843CB" w:rsidRPr="00B4287C" w:rsidRDefault="00E843CB" w:rsidP="00823275">
      <w:pPr>
        <w:jc w:val="both"/>
        <w:rPr>
          <w:color w:val="000000"/>
          <w:lang w:val="sr-Latn-CS"/>
        </w:rPr>
      </w:pPr>
    </w:p>
    <w:p w:rsidR="00E843CB" w:rsidRPr="00B4287C" w:rsidRDefault="00E843CB" w:rsidP="00823275">
      <w:pPr>
        <w:jc w:val="both"/>
        <w:rPr>
          <w:color w:val="000000"/>
          <w:lang w:val="sr-Latn-CS"/>
        </w:rPr>
      </w:pPr>
    </w:p>
    <w:p w:rsidR="00E843CB" w:rsidRPr="00B4287C" w:rsidRDefault="00E843CB" w:rsidP="00823275">
      <w:pPr>
        <w:jc w:val="both"/>
        <w:rPr>
          <w:color w:val="000000"/>
          <w:lang w:val="sr-Latn-CS"/>
        </w:rPr>
      </w:pPr>
    </w:p>
    <w:p w:rsidR="00E843CB" w:rsidRPr="00B4287C" w:rsidRDefault="00E843CB" w:rsidP="00823275">
      <w:pPr>
        <w:jc w:val="both"/>
        <w:rPr>
          <w:color w:val="000000"/>
          <w:lang w:val="sr-Latn-CS"/>
        </w:rPr>
      </w:pPr>
    </w:p>
    <w:p w:rsidR="00E843CB" w:rsidRPr="00B4287C" w:rsidRDefault="00E843CB" w:rsidP="00823275">
      <w:pPr>
        <w:jc w:val="center"/>
        <w:rPr>
          <w:b/>
          <w:bCs/>
          <w:lang w:val="sr-Latn-CS"/>
        </w:rPr>
      </w:pPr>
      <w:r w:rsidRPr="00B4287C">
        <w:rPr>
          <w:b/>
          <w:bCs/>
          <w:lang w:val="sr-Latn-CS"/>
        </w:rPr>
        <w:t>Nezavisna Komisija za Medije</w:t>
      </w:r>
    </w:p>
    <w:p w:rsidR="00E843CB" w:rsidRPr="00B4287C" w:rsidRDefault="00E843CB" w:rsidP="00823275">
      <w:pPr>
        <w:jc w:val="center"/>
        <w:rPr>
          <w:b/>
          <w:bCs/>
          <w:lang w:val="sr-Latn-CS"/>
        </w:rPr>
      </w:pPr>
    </w:p>
    <w:p w:rsidR="00E843CB" w:rsidRPr="00B4287C" w:rsidRDefault="00E843CB" w:rsidP="00823275">
      <w:pPr>
        <w:jc w:val="center"/>
        <w:rPr>
          <w:b/>
          <w:bCs/>
          <w:lang w:val="sr-Latn-CS"/>
        </w:rPr>
      </w:pPr>
    </w:p>
    <w:p w:rsidR="00E843CB" w:rsidRPr="00B4287C" w:rsidRDefault="00E843CB" w:rsidP="006C44E4">
      <w:pPr>
        <w:tabs>
          <w:tab w:val="left" w:pos="7605"/>
        </w:tabs>
        <w:rPr>
          <w:b/>
          <w:bCs/>
          <w:lang w:val="sr-Latn-CS"/>
        </w:rPr>
      </w:pPr>
      <w:r>
        <w:rPr>
          <w:b/>
          <w:bCs/>
          <w:lang w:val="sr-Latn-CS"/>
        </w:rPr>
        <w:tab/>
      </w:r>
    </w:p>
    <w:p w:rsidR="00E843CB" w:rsidRPr="00B4287C" w:rsidRDefault="00E843CB" w:rsidP="00823275">
      <w:pPr>
        <w:jc w:val="center"/>
        <w:rPr>
          <w:b/>
          <w:bCs/>
          <w:lang w:val="sr-Latn-CS"/>
        </w:rPr>
      </w:pPr>
      <w:r>
        <w:rPr>
          <w:b/>
          <w:bCs/>
          <w:lang w:val="sr-Latn-CS"/>
        </w:rPr>
        <w:t xml:space="preserve">Godišnji izveštaj o radu </w:t>
      </w:r>
    </w:p>
    <w:p w:rsidR="00E843CB" w:rsidRPr="00B4287C" w:rsidRDefault="00E843CB" w:rsidP="00823275">
      <w:pPr>
        <w:jc w:val="center"/>
        <w:rPr>
          <w:b/>
          <w:bCs/>
          <w:lang w:val="sr-Latn-CS"/>
        </w:rPr>
      </w:pPr>
      <w:r>
        <w:rPr>
          <w:b/>
          <w:bCs/>
          <w:lang w:val="sr-Latn-CS"/>
        </w:rPr>
        <w:t>2011. godine</w:t>
      </w:r>
    </w:p>
    <w:p w:rsidR="00E843CB" w:rsidRPr="00B4287C" w:rsidRDefault="00E843CB" w:rsidP="00823275">
      <w:pPr>
        <w:jc w:val="center"/>
        <w:rPr>
          <w:b/>
          <w:bCs/>
          <w:lang w:val="sr-Latn-CS"/>
        </w:rPr>
      </w:pPr>
    </w:p>
    <w:p w:rsidR="00E843CB" w:rsidRPr="00B4287C" w:rsidRDefault="00E843CB" w:rsidP="00823275">
      <w:pPr>
        <w:jc w:val="center"/>
        <w:rPr>
          <w:b/>
          <w:bCs/>
          <w:lang w:val="sr-Latn-CS"/>
        </w:rPr>
      </w:pPr>
    </w:p>
    <w:p w:rsidR="00E843CB" w:rsidRPr="00B4287C" w:rsidRDefault="00E843CB" w:rsidP="00823275">
      <w:pPr>
        <w:jc w:val="center"/>
        <w:rPr>
          <w:b/>
          <w:bCs/>
          <w:lang w:val="sr-Latn-CS"/>
        </w:rPr>
      </w:pPr>
      <w:r>
        <w:rPr>
          <w:b/>
          <w:bCs/>
          <w:lang w:val="sr-Latn-CS"/>
        </w:rPr>
        <w:t>upućen</w:t>
      </w:r>
    </w:p>
    <w:p w:rsidR="00E843CB" w:rsidRPr="00B4287C" w:rsidRDefault="00E843CB" w:rsidP="00823275">
      <w:pPr>
        <w:jc w:val="center"/>
        <w:rPr>
          <w:b/>
          <w:bCs/>
          <w:lang w:val="sr-Latn-CS"/>
        </w:rPr>
      </w:pPr>
    </w:p>
    <w:p w:rsidR="00E843CB" w:rsidRPr="00B4287C" w:rsidRDefault="00E843CB" w:rsidP="00823275">
      <w:pPr>
        <w:jc w:val="center"/>
        <w:rPr>
          <w:b/>
          <w:bCs/>
          <w:lang w:val="sr-Latn-CS"/>
        </w:rPr>
      </w:pPr>
    </w:p>
    <w:p w:rsidR="00E843CB" w:rsidRPr="00B4287C" w:rsidRDefault="00E843CB" w:rsidP="00823275">
      <w:pPr>
        <w:jc w:val="center"/>
        <w:rPr>
          <w:b/>
          <w:bCs/>
          <w:lang w:val="sr-Latn-CS"/>
        </w:rPr>
      </w:pPr>
      <w:r>
        <w:rPr>
          <w:b/>
          <w:bCs/>
          <w:lang w:val="sr-Latn-CS"/>
        </w:rPr>
        <w:t>Skupštini Republike Kosovo</w:t>
      </w:r>
    </w:p>
    <w:p w:rsidR="00E843CB" w:rsidRPr="00B4287C" w:rsidRDefault="00E843CB" w:rsidP="00823275">
      <w:pPr>
        <w:jc w:val="center"/>
        <w:rPr>
          <w:b/>
          <w:bCs/>
          <w:lang w:val="sr-Latn-CS"/>
        </w:rPr>
      </w:pPr>
    </w:p>
    <w:p w:rsidR="00E843CB" w:rsidRPr="00B4287C" w:rsidRDefault="00E843CB" w:rsidP="00823275">
      <w:pPr>
        <w:jc w:val="center"/>
        <w:rPr>
          <w:b/>
          <w:bCs/>
          <w:lang w:val="sr-Latn-CS"/>
        </w:rPr>
      </w:pPr>
    </w:p>
    <w:p w:rsidR="00E843CB" w:rsidRPr="00B4287C" w:rsidRDefault="00E843CB" w:rsidP="00823275">
      <w:pPr>
        <w:jc w:val="center"/>
        <w:rPr>
          <w:b/>
          <w:bCs/>
          <w:lang w:val="sr-Latn-CS"/>
        </w:rPr>
      </w:pPr>
      <w:r>
        <w:rPr>
          <w:b/>
          <w:bCs/>
          <w:lang w:val="sr-Latn-CS"/>
        </w:rPr>
        <w:t>februar</w:t>
      </w:r>
      <w:r w:rsidRPr="00B4287C">
        <w:rPr>
          <w:b/>
          <w:bCs/>
          <w:lang w:val="sr-Latn-CS"/>
        </w:rPr>
        <w:t xml:space="preserve"> 2012</w:t>
      </w:r>
      <w:r>
        <w:rPr>
          <w:b/>
          <w:bCs/>
          <w:lang w:val="sr-Latn-CS"/>
        </w:rPr>
        <w:t>.</w:t>
      </w: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p>
    <w:p w:rsidR="00E843CB" w:rsidRPr="00B4287C" w:rsidRDefault="00E843CB" w:rsidP="00823275">
      <w:pPr>
        <w:jc w:val="center"/>
        <w:rPr>
          <w:lang w:val="sr-Latn-CS"/>
        </w:rPr>
      </w:pPr>
      <w:r w:rsidRPr="00B4287C">
        <w:rPr>
          <w:b/>
          <w:bCs/>
          <w:lang w:val="sr-Latn-CS"/>
        </w:rPr>
        <w:t xml:space="preserve">Telefon: </w:t>
      </w:r>
      <w:r w:rsidRPr="00B4287C">
        <w:rPr>
          <w:lang w:val="sr-Latn-CS"/>
        </w:rPr>
        <w:t>038  245 031</w:t>
      </w:r>
    </w:p>
    <w:p w:rsidR="00E843CB" w:rsidRPr="00B4287C" w:rsidRDefault="00E843CB" w:rsidP="00823275">
      <w:pPr>
        <w:jc w:val="center"/>
        <w:rPr>
          <w:b/>
          <w:bCs/>
          <w:lang w:val="sr-Latn-CS"/>
        </w:rPr>
      </w:pPr>
      <w:r>
        <w:rPr>
          <w:b/>
          <w:bCs/>
          <w:lang w:val="sr-Latn-CS"/>
        </w:rPr>
        <w:t>Telefaks</w:t>
      </w:r>
      <w:r w:rsidRPr="00B4287C">
        <w:rPr>
          <w:b/>
          <w:bCs/>
          <w:lang w:val="sr-Latn-CS"/>
        </w:rPr>
        <w:t xml:space="preserve">: </w:t>
      </w:r>
      <w:r w:rsidRPr="00B4287C">
        <w:rPr>
          <w:lang w:val="sr-Latn-CS"/>
        </w:rPr>
        <w:t>038 245 034</w:t>
      </w:r>
    </w:p>
    <w:p w:rsidR="00E843CB" w:rsidRPr="00B4287C" w:rsidRDefault="00E843CB" w:rsidP="00823275">
      <w:pPr>
        <w:jc w:val="center"/>
        <w:rPr>
          <w:lang w:val="sr-Latn-CS"/>
        </w:rPr>
      </w:pPr>
      <w:r>
        <w:rPr>
          <w:b/>
          <w:bCs/>
          <w:lang w:val="sr-Latn-CS"/>
        </w:rPr>
        <w:t>Veb portal</w:t>
      </w:r>
      <w:r w:rsidRPr="00B4287C">
        <w:rPr>
          <w:b/>
          <w:bCs/>
          <w:lang w:val="sr-Latn-CS"/>
        </w:rPr>
        <w:t>:</w:t>
      </w:r>
      <w:r>
        <w:rPr>
          <w:b/>
          <w:bCs/>
          <w:lang w:val="sr-Latn-CS"/>
        </w:rPr>
        <w:t xml:space="preserve"> </w:t>
      </w:r>
      <w:hyperlink r:id="rId8" w:history="1">
        <w:r w:rsidRPr="00122DC4">
          <w:rPr>
            <w:rStyle w:val="Hyperlink"/>
            <w:lang w:val="sr-Latn-CS"/>
          </w:rPr>
          <w:t>www.kpm-ks.org</w:t>
        </w:r>
      </w:hyperlink>
      <w:r>
        <w:rPr>
          <w:lang w:val="sr-Latn-CS"/>
        </w:rPr>
        <w:t xml:space="preserve">  </w:t>
      </w:r>
    </w:p>
    <w:p w:rsidR="00E843CB" w:rsidRPr="00B4287C" w:rsidRDefault="00E843CB" w:rsidP="00823275">
      <w:pPr>
        <w:jc w:val="center"/>
        <w:rPr>
          <w:lang w:val="sr-Latn-CS"/>
        </w:rPr>
      </w:pPr>
      <w:r w:rsidRPr="00B4287C">
        <w:rPr>
          <w:b/>
          <w:bCs/>
          <w:lang w:val="sr-Latn-CS"/>
        </w:rPr>
        <w:t xml:space="preserve">E-mail: </w:t>
      </w:r>
      <w:hyperlink r:id="rId9" w:history="1">
        <w:r w:rsidRPr="00B4287C">
          <w:rPr>
            <w:rStyle w:val="Hyperlink"/>
            <w:lang w:val="sr-Latn-CS"/>
          </w:rPr>
          <w:t>info@kpm-ks.org</w:t>
        </w:r>
      </w:hyperlink>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2A58E2">
      <w:pPr>
        <w:rPr>
          <w:lang w:val="sr-Latn-CS"/>
        </w:rPr>
      </w:pPr>
    </w:p>
    <w:p w:rsidR="00E843CB" w:rsidRPr="00B4287C" w:rsidRDefault="00E843CB" w:rsidP="00947121">
      <w:pPr>
        <w:jc w:val="center"/>
        <w:outlineLvl w:val="0"/>
        <w:rPr>
          <w:b/>
          <w:bCs/>
          <w:color w:val="000000"/>
          <w:lang w:val="sr-Latn-CS"/>
        </w:rPr>
      </w:pPr>
      <w:bookmarkStart w:id="0" w:name="_Toc318275967"/>
      <w:bookmarkStart w:id="1" w:name="_Toc318357722"/>
      <w:bookmarkStart w:id="2" w:name="_Toc319311008"/>
      <w:r>
        <w:rPr>
          <w:b/>
          <w:bCs/>
          <w:color w:val="000000"/>
          <w:lang w:val="sr-Latn-CS"/>
        </w:rPr>
        <w:t>SADRŽAJ</w:t>
      </w:r>
      <w:r w:rsidRPr="00B4287C">
        <w:rPr>
          <w:b/>
          <w:bCs/>
          <w:color w:val="000000"/>
          <w:lang w:val="sr-Latn-CS"/>
        </w:rPr>
        <w:t>:</w:t>
      </w:r>
      <w:bookmarkEnd w:id="0"/>
      <w:bookmarkEnd w:id="1"/>
      <w:bookmarkEnd w:id="2"/>
    </w:p>
    <w:p w:rsidR="00E843CB" w:rsidRDefault="00E843CB">
      <w:pPr>
        <w:pStyle w:val="TOC1"/>
        <w:rPr>
          <w:rFonts w:ascii="Calibri" w:hAnsi="Calibri" w:cs="Calibri"/>
          <w:noProof/>
          <w:sz w:val="22"/>
          <w:szCs w:val="22"/>
          <w:lang w:val="en-US"/>
        </w:rPr>
      </w:pPr>
      <w:r w:rsidRPr="00B4287C">
        <w:rPr>
          <w:b/>
          <w:bCs/>
          <w:i/>
          <w:iCs/>
          <w:color w:val="000000"/>
          <w:u w:val="single"/>
          <w:lang w:val="sr-Latn-CS"/>
        </w:rPr>
        <w:fldChar w:fldCharType="begin"/>
      </w:r>
      <w:r w:rsidRPr="00B4287C">
        <w:rPr>
          <w:b/>
          <w:bCs/>
          <w:i/>
          <w:iCs/>
          <w:color w:val="000000"/>
          <w:u w:val="single"/>
          <w:lang w:val="sr-Latn-CS"/>
        </w:rPr>
        <w:instrText xml:space="preserve"> TOC \o "1-4" \h \z \u </w:instrText>
      </w:r>
      <w:r w:rsidRPr="00B4287C">
        <w:rPr>
          <w:b/>
          <w:bCs/>
          <w:i/>
          <w:iCs/>
          <w:color w:val="000000"/>
          <w:u w:val="single"/>
          <w:lang w:val="sr-Latn-CS"/>
        </w:rPr>
        <w:fldChar w:fldCharType="separate"/>
      </w:r>
    </w:p>
    <w:p w:rsidR="00E843CB" w:rsidRDefault="00E843CB">
      <w:pPr>
        <w:pStyle w:val="TOC1"/>
        <w:rPr>
          <w:rFonts w:ascii="Calibri" w:hAnsi="Calibri" w:cs="Calibri"/>
          <w:noProof/>
          <w:sz w:val="22"/>
          <w:szCs w:val="22"/>
          <w:lang w:val="en-US"/>
        </w:rPr>
      </w:pPr>
      <w:hyperlink w:anchor="_Toc319311017" w:history="1">
        <w:r w:rsidRPr="00B87FA2">
          <w:rPr>
            <w:rStyle w:val="Hyperlink"/>
            <w:b/>
            <w:bCs/>
            <w:noProof/>
            <w:lang w:val="sr-Latn-CS"/>
          </w:rPr>
          <w:t>IZVRŠNI REZIME</w:t>
        </w:r>
        <w:r>
          <w:rPr>
            <w:noProof/>
            <w:webHidden/>
          </w:rPr>
          <w:tab/>
        </w:r>
        <w:r>
          <w:rPr>
            <w:noProof/>
            <w:webHidden/>
          </w:rPr>
          <w:fldChar w:fldCharType="begin"/>
        </w:r>
        <w:r>
          <w:rPr>
            <w:noProof/>
            <w:webHidden/>
          </w:rPr>
          <w:instrText xml:space="preserve"> PAGEREF _Toc319311017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18" w:history="1">
        <w:r w:rsidRPr="00B87FA2">
          <w:rPr>
            <w:rStyle w:val="Hyperlink"/>
            <w:b/>
            <w:bCs/>
            <w:noProof/>
            <w:lang w:val="sr-Latn-CS"/>
          </w:rPr>
          <w:t>STRUKTURA IZVEŠTAJA</w:t>
        </w:r>
        <w:r>
          <w:rPr>
            <w:noProof/>
            <w:webHidden/>
          </w:rPr>
          <w:tab/>
        </w:r>
        <w:r>
          <w:rPr>
            <w:noProof/>
            <w:webHidden/>
          </w:rPr>
          <w:fldChar w:fldCharType="begin"/>
        </w:r>
        <w:r>
          <w:rPr>
            <w:noProof/>
            <w:webHidden/>
          </w:rPr>
          <w:instrText xml:space="preserve"> PAGEREF _Toc319311018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19" w:history="1">
        <w:r w:rsidRPr="00B87FA2">
          <w:rPr>
            <w:rStyle w:val="Hyperlink"/>
            <w:b/>
            <w:bCs/>
            <w:noProof/>
            <w:lang w:val="sr-Latn-CS"/>
          </w:rPr>
          <w:t>DEO I</w:t>
        </w:r>
        <w:r>
          <w:rPr>
            <w:noProof/>
            <w:webHidden/>
          </w:rPr>
          <w:tab/>
        </w:r>
        <w:r>
          <w:rPr>
            <w:noProof/>
            <w:webHidden/>
          </w:rPr>
          <w:fldChar w:fldCharType="begin"/>
        </w:r>
        <w:r>
          <w:rPr>
            <w:noProof/>
            <w:webHidden/>
          </w:rPr>
          <w:instrText xml:space="preserve"> PAGEREF _Toc319311019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20" w:history="1">
        <w:r w:rsidRPr="00B87FA2">
          <w:rPr>
            <w:rStyle w:val="Hyperlink"/>
            <w:b/>
            <w:bCs/>
            <w:noProof/>
            <w:lang w:val="sr-Latn-CS"/>
          </w:rPr>
          <w:t>REALIZACIJA CILJEVA NKM ZA 2011. GODINU</w:t>
        </w:r>
        <w:r>
          <w:rPr>
            <w:noProof/>
            <w:webHidden/>
          </w:rPr>
          <w:tab/>
        </w:r>
        <w:r>
          <w:rPr>
            <w:noProof/>
            <w:webHidden/>
          </w:rPr>
          <w:fldChar w:fldCharType="begin"/>
        </w:r>
        <w:r>
          <w:rPr>
            <w:noProof/>
            <w:webHidden/>
          </w:rPr>
          <w:instrText xml:space="preserve"> PAGEREF _Toc319311020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left" w:pos="1100"/>
          <w:tab w:val="right" w:leader="dot" w:pos="9628"/>
        </w:tabs>
        <w:rPr>
          <w:rFonts w:ascii="Calibri" w:hAnsi="Calibri" w:cs="Calibri"/>
          <w:noProof/>
          <w:sz w:val="22"/>
          <w:szCs w:val="22"/>
          <w:lang w:val="en-US"/>
        </w:rPr>
      </w:pPr>
      <w:hyperlink w:anchor="_Toc319311021" w:history="1">
        <w:r w:rsidRPr="00B87FA2">
          <w:rPr>
            <w:rStyle w:val="Hyperlink"/>
            <w:b/>
            <w:bCs/>
            <w:i/>
            <w:iCs/>
            <w:noProof/>
            <w:lang w:val="sr-Latn-CS"/>
          </w:rPr>
          <w:t>1.</w:t>
        </w:r>
        <w:r>
          <w:rPr>
            <w:rFonts w:ascii="Calibri" w:hAnsi="Calibri" w:cs="Calibri"/>
            <w:noProof/>
            <w:sz w:val="22"/>
            <w:szCs w:val="22"/>
            <w:lang w:val="en-US"/>
          </w:rPr>
          <w:tab/>
        </w:r>
        <w:r w:rsidRPr="00B87FA2">
          <w:rPr>
            <w:rStyle w:val="Hyperlink"/>
            <w:b/>
            <w:bCs/>
            <w:i/>
            <w:iCs/>
            <w:noProof/>
            <w:lang w:val="sr-Latn-CS"/>
          </w:rPr>
          <w:t>Određivanje politike za prelazak na digitalno emitovanje elektronskih medija na Kosovu</w:t>
        </w:r>
        <w:r>
          <w:rPr>
            <w:noProof/>
            <w:webHidden/>
          </w:rPr>
          <w:tab/>
        </w:r>
        <w:r>
          <w:rPr>
            <w:noProof/>
            <w:webHidden/>
          </w:rPr>
          <w:fldChar w:fldCharType="begin"/>
        </w:r>
        <w:r>
          <w:rPr>
            <w:noProof/>
            <w:webHidden/>
          </w:rPr>
          <w:instrText xml:space="preserve"> PAGEREF _Toc319311021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left" w:pos="1100"/>
          <w:tab w:val="right" w:leader="dot" w:pos="9628"/>
        </w:tabs>
        <w:rPr>
          <w:rFonts w:ascii="Calibri" w:hAnsi="Calibri" w:cs="Calibri"/>
          <w:noProof/>
          <w:sz w:val="22"/>
          <w:szCs w:val="22"/>
          <w:lang w:val="en-US"/>
        </w:rPr>
      </w:pPr>
      <w:hyperlink w:anchor="_Toc319311022" w:history="1">
        <w:r w:rsidRPr="00B87FA2">
          <w:rPr>
            <w:rStyle w:val="Hyperlink"/>
            <w:b/>
            <w:bCs/>
            <w:i/>
            <w:iCs/>
            <w:noProof/>
            <w:lang w:val="sr-Latn-CS"/>
          </w:rPr>
          <w:t>2.</w:t>
        </w:r>
        <w:r>
          <w:rPr>
            <w:rFonts w:ascii="Calibri" w:hAnsi="Calibri" w:cs="Calibri"/>
            <w:noProof/>
            <w:sz w:val="22"/>
            <w:szCs w:val="22"/>
            <w:lang w:val="en-US"/>
          </w:rPr>
          <w:tab/>
        </w:r>
        <w:r w:rsidRPr="00B87FA2">
          <w:rPr>
            <w:rStyle w:val="Hyperlink"/>
            <w:b/>
            <w:bCs/>
            <w:i/>
            <w:iCs/>
            <w:noProof/>
            <w:lang w:val="sr-Latn-CS"/>
          </w:rPr>
          <w:t>Razvoj medijskog tržišta koje služi svim građanima Kosova</w:t>
        </w:r>
        <w:r>
          <w:rPr>
            <w:noProof/>
            <w:webHidden/>
          </w:rPr>
          <w:tab/>
        </w:r>
        <w:r>
          <w:rPr>
            <w:noProof/>
            <w:webHidden/>
          </w:rPr>
          <w:fldChar w:fldCharType="begin"/>
        </w:r>
        <w:r>
          <w:rPr>
            <w:noProof/>
            <w:webHidden/>
          </w:rPr>
          <w:instrText xml:space="preserve"> PAGEREF _Toc319311022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left" w:pos="1100"/>
          <w:tab w:val="right" w:leader="dot" w:pos="9628"/>
        </w:tabs>
        <w:rPr>
          <w:rFonts w:ascii="Calibri" w:hAnsi="Calibri" w:cs="Calibri"/>
          <w:noProof/>
          <w:sz w:val="22"/>
          <w:szCs w:val="22"/>
          <w:lang w:val="en-US"/>
        </w:rPr>
      </w:pPr>
      <w:hyperlink w:anchor="_Toc319311023" w:history="1">
        <w:r w:rsidRPr="00B87FA2">
          <w:rPr>
            <w:rStyle w:val="Hyperlink"/>
            <w:b/>
            <w:bCs/>
            <w:i/>
            <w:iCs/>
            <w:noProof/>
            <w:lang w:val="sr-Latn-CS"/>
          </w:rPr>
          <w:t>3.</w:t>
        </w:r>
        <w:r>
          <w:rPr>
            <w:rFonts w:ascii="Calibri" w:hAnsi="Calibri" w:cs="Calibri"/>
            <w:noProof/>
            <w:sz w:val="22"/>
            <w:szCs w:val="22"/>
            <w:lang w:val="en-US"/>
          </w:rPr>
          <w:tab/>
        </w:r>
        <w:r w:rsidRPr="00B87FA2">
          <w:rPr>
            <w:rStyle w:val="Hyperlink"/>
            <w:b/>
            <w:bCs/>
            <w:i/>
            <w:iCs/>
            <w:noProof/>
            <w:lang w:val="sr-Latn-CS"/>
          </w:rPr>
          <w:t>Razvoj politika emitovanja u skladu sa međunarodno priznatim standardima</w:t>
        </w:r>
        <w:r>
          <w:rPr>
            <w:noProof/>
            <w:webHidden/>
          </w:rPr>
          <w:tab/>
        </w:r>
        <w:r>
          <w:rPr>
            <w:noProof/>
            <w:webHidden/>
          </w:rPr>
          <w:fldChar w:fldCharType="begin"/>
        </w:r>
        <w:r>
          <w:rPr>
            <w:noProof/>
            <w:webHidden/>
          </w:rPr>
          <w:instrText xml:space="preserve"> PAGEREF _Toc319311023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24" w:history="1">
        <w:r w:rsidRPr="00B87FA2">
          <w:rPr>
            <w:rStyle w:val="Hyperlink"/>
            <w:b/>
            <w:bCs/>
            <w:noProof/>
            <w:lang w:val="sr-Latn-CS"/>
          </w:rPr>
          <w:t>DEO II</w:t>
        </w:r>
        <w:r>
          <w:rPr>
            <w:noProof/>
            <w:webHidden/>
          </w:rPr>
          <w:tab/>
        </w:r>
        <w:r>
          <w:rPr>
            <w:noProof/>
            <w:webHidden/>
          </w:rPr>
          <w:fldChar w:fldCharType="begin"/>
        </w:r>
        <w:r>
          <w:rPr>
            <w:noProof/>
            <w:webHidden/>
          </w:rPr>
          <w:instrText xml:space="preserve"> PAGEREF _Toc319311024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25" w:history="1">
        <w:r w:rsidRPr="00B87FA2">
          <w:rPr>
            <w:rStyle w:val="Hyperlink"/>
            <w:b/>
            <w:bCs/>
            <w:noProof/>
            <w:lang w:val="sr-Latn-CS"/>
          </w:rPr>
          <w:t>CILJEVI ZA 2012. GODINU</w:t>
        </w:r>
        <w:r>
          <w:rPr>
            <w:noProof/>
            <w:webHidden/>
          </w:rPr>
          <w:tab/>
        </w:r>
        <w:r>
          <w:rPr>
            <w:noProof/>
            <w:webHidden/>
          </w:rPr>
          <w:fldChar w:fldCharType="begin"/>
        </w:r>
        <w:r>
          <w:rPr>
            <w:noProof/>
            <w:webHidden/>
          </w:rPr>
          <w:instrText xml:space="preserve"> PAGEREF _Toc319311025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26" w:history="1">
        <w:r w:rsidRPr="00B87FA2">
          <w:rPr>
            <w:rStyle w:val="Hyperlink"/>
            <w:b/>
            <w:bCs/>
            <w:noProof/>
            <w:lang w:val="sr-Latn-CS"/>
          </w:rPr>
          <w:t>DEO III</w:t>
        </w:r>
        <w:r>
          <w:rPr>
            <w:noProof/>
            <w:webHidden/>
          </w:rPr>
          <w:tab/>
        </w:r>
        <w:r>
          <w:rPr>
            <w:noProof/>
            <w:webHidden/>
          </w:rPr>
          <w:fldChar w:fldCharType="begin"/>
        </w:r>
        <w:r>
          <w:rPr>
            <w:noProof/>
            <w:webHidden/>
          </w:rPr>
          <w:instrText xml:space="preserve"> PAGEREF _Toc319311026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27" w:history="1">
        <w:r w:rsidRPr="00B87FA2">
          <w:rPr>
            <w:rStyle w:val="Hyperlink"/>
            <w:b/>
            <w:bCs/>
            <w:noProof/>
            <w:lang w:val="sr-Latn-CS"/>
          </w:rPr>
          <w:t>SAVETOVANJE NKM</w:t>
        </w:r>
        <w:r>
          <w:rPr>
            <w:noProof/>
            <w:webHidden/>
          </w:rPr>
          <w:tab/>
        </w:r>
        <w:r>
          <w:rPr>
            <w:noProof/>
            <w:webHidden/>
          </w:rPr>
          <w:fldChar w:fldCharType="begin"/>
        </w:r>
        <w:r>
          <w:rPr>
            <w:noProof/>
            <w:webHidden/>
          </w:rPr>
          <w:instrText xml:space="preserve"> PAGEREF _Toc319311027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28" w:history="1">
        <w:r w:rsidRPr="00B87FA2">
          <w:rPr>
            <w:rStyle w:val="Hyperlink"/>
            <w:b/>
            <w:bCs/>
            <w:i/>
            <w:iCs/>
            <w:noProof/>
            <w:lang w:val="sr-Latn-CS"/>
          </w:rPr>
          <w:t>Sastav i nominacije</w:t>
        </w:r>
        <w:r>
          <w:rPr>
            <w:noProof/>
            <w:webHidden/>
          </w:rPr>
          <w:tab/>
        </w:r>
        <w:r>
          <w:rPr>
            <w:noProof/>
            <w:webHidden/>
          </w:rPr>
          <w:fldChar w:fldCharType="begin"/>
        </w:r>
        <w:r>
          <w:rPr>
            <w:noProof/>
            <w:webHidden/>
          </w:rPr>
          <w:instrText xml:space="preserve"> PAGEREF _Toc319311028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29" w:history="1">
        <w:r w:rsidRPr="00B87FA2">
          <w:rPr>
            <w:rStyle w:val="Hyperlink"/>
            <w:b/>
            <w:bCs/>
            <w:noProof/>
            <w:lang w:val="sr-Latn-CS"/>
          </w:rPr>
          <w:t>ORGANIZOVANJE JAVNIH SASTANAKA</w:t>
        </w:r>
        <w:r>
          <w:rPr>
            <w:noProof/>
            <w:webHidden/>
          </w:rPr>
          <w:tab/>
        </w:r>
        <w:r>
          <w:rPr>
            <w:noProof/>
            <w:webHidden/>
          </w:rPr>
          <w:fldChar w:fldCharType="begin"/>
        </w:r>
        <w:r>
          <w:rPr>
            <w:noProof/>
            <w:webHidden/>
          </w:rPr>
          <w:instrText xml:space="preserve"> PAGEREF _Toc319311029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30" w:history="1">
        <w:r w:rsidRPr="00B87FA2">
          <w:rPr>
            <w:rStyle w:val="Hyperlink"/>
            <w:b/>
            <w:bCs/>
            <w:noProof/>
            <w:lang w:val="sr-Latn-CS"/>
          </w:rPr>
          <w:t>DEO IV</w:t>
        </w:r>
        <w:r>
          <w:rPr>
            <w:noProof/>
            <w:webHidden/>
          </w:rPr>
          <w:tab/>
        </w:r>
        <w:r>
          <w:rPr>
            <w:noProof/>
            <w:webHidden/>
          </w:rPr>
          <w:fldChar w:fldCharType="begin"/>
        </w:r>
        <w:r>
          <w:rPr>
            <w:noProof/>
            <w:webHidden/>
          </w:rPr>
          <w:instrText xml:space="preserve"> PAGEREF _Toc319311030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31" w:history="1">
        <w:r w:rsidRPr="00B87FA2">
          <w:rPr>
            <w:rStyle w:val="Hyperlink"/>
            <w:b/>
            <w:bCs/>
            <w:noProof/>
            <w:lang w:val="sr-Latn-CS"/>
          </w:rPr>
          <w:t>PREDSTAVLJANJE RADA KANCELARIJE IZVEŠNOG ŠEFA</w:t>
        </w:r>
        <w:r>
          <w:rPr>
            <w:noProof/>
            <w:webHidden/>
          </w:rPr>
          <w:tab/>
        </w:r>
        <w:r>
          <w:rPr>
            <w:noProof/>
            <w:webHidden/>
          </w:rPr>
          <w:fldChar w:fldCharType="begin"/>
        </w:r>
        <w:r>
          <w:rPr>
            <w:noProof/>
            <w:webHidden/>
          </w:rPr>
          <w:instrText xml:space="preserve"> PAGEREF _Toc319311031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2" w:history="1">
        <w:r w:rsidRPr="00B87FA2">
          <w:rPr>
            <w:rStyle w:val="Hyperlink"/>
            <w:b/>
            <w:bCs/>
            <w:i/>
            <w:iCs/>
            <w:noProof/>
            <w:lang w:val="sr-Latn-CS"/>
          </w:rPr>
          <w:t>Osoblje</w:t>
        </w:r>
        <w:r>
          <w:rPr>
            <w:noProof/>
            <w:webHidden/>
          </w:rPr>
          <w:tab/>
        </w:r>
        <w:r>
          <w:rPr>
            <w:noProof/>
            <w:webHidden/>
          </w:rPr>
          <w:fldChar w:fldCharType="begin"/>
        </w:r>
        <w:r>
          <w:rPr>
            <w:noProof/>
            <w:webHidden/>
          </w:rPr>
          <w:instrText xml:space="preserve"> PAGEREF _Toc319311032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33" w:history="1">
        <w:r w:rsidRPr="00B87FA2">
          <w:rPr>
            <w:rStyle w:val="Hyperlink"/>
            <w:b/>
            <w:bCs/>
            <w:noProof/>
            <w:lang w:val="sr-Latn-CS"/>
          </w:rPr>
          <w:t>ODELJENJE ZA MONITORING I ANALIZU</w:t>
        </w:r>
        <w:r>
          <w:rPr>
            <w:noProof/>
            <w:webHidden/>
          </w:rPr>
          <w:tab/>
        </w:r>
        <w:r>
          <w:rPr>
            <w:noProof/>
            <w:webHidden/>
          </w:rPr>
          <w:fldChar w:fldCharType="begin"/>
        </w:r>
        <w:r>
          <w:rPr>
            <w:noProof/>
            <w:webHidden/>
          </w:rPr>
          <w:instrText xml:space="preserve"> PAGEREF _Toc319311033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4" w:history="1">
        <w:r w:rsidRPr="00B87FA2">
          <w:rPr>
            <w:rStyle w:val="Hyperlink"/>
            <w:b/>
            <w:bCs/>
            <w:i/>
            <w:iCs/>
            <w:noProof/>
            <w:lang w:val="sr-Latn-CS"/>
          </w:rPr>
          <w:t>Monitoring saglasnosti sa Uredbom o zaštiti dece i maloletnika od štetnog programskog sadržaja</w:t>
        </w:r>
        <w:r>
          <w:rPr>
            <w:noProof/>
            <w:webHidden/>
          </w:rPr>
          <w:tab/>
        </w:r>
        <w:r>
          <w:rPr>
            <w:noProof/>
            <w:webHidden/>
          </w:rPr>
          <w:fldChar w:fldCharType="begin"/>
        </w:r>
        <w:r>
          <w:rPr>
            <w:noProof/>
            <w:webHidden/>
          </w:rPr>
          <w:instrText xml:space="preserve"> PAGEREF _Toc319311034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5" w:history="1">
        <w:r w:rsidRPr="00B87FA2">
          <w:rPr>
            <w:rStyle w:val="Hyperlink"/>
            <w:b/>
            <w:bCs/>
            <w:i/>
            <w:iCs/>
            <w:noProof/>
            <w:lang w:val="sr-Latn-CS"/>
          </w:rPr>
          <w:t>Monitoring saglasnosti sa Uredbom o audiovizuelnoj komercijalnoj komunikaciji</w:t>
        </w:r>
        <w:r>
          <w:rPr>
            <w:noProof/>
            <w:webHidden/>
          </w:rPr>
          <w:tab/>
        </w:r>
        <w:r>
          <w:rPr>
            <w:noProof/>
            <w:webHidden/>
          </w:rPr>
          <w:fldChar w:fldCharType="begin"/>
        </w:r>
        <w:r>
          <w:rPr>
            <w:noProof/>
            <w:webHidden/>
          </w:rPr>
          <w:instrText xml:space="preserve"> PAGEREF _Toc319311035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6" w:history="1">
        <w:r w:rsidRPr="00B87FA2">
          <w:rPr>
            <w:rStyle w:val="Hyperlink"/>
            <w:b/>
            <w:bCs/>
            <w:i/>
            <w:iCs/>
            <w:noProof/>
            <w:lang w:val="sr-Latn-CS"/>
          </w:rPr>
          <w:t>Monitoring programa javnog servisa u vezi sa saglasnošću sa Uredbom o audiovizuelnoj komercijalnoj komunikaciji</w:t>
        </w:r>
        <w:r>
          <w:rPr>
            <w:noProof/>
            <w:webHidden/>
          </w:rPr>
          <w:tab/>
        </w:r>
        <w:r>
          <w:rPr>
            <w:noProof/>
            <w:webHidden/>
          </w:rPr>
          <w:fldChar w:fldCharType="begin"/>
        </w:r>
        <w:r>
          <w:rPr>
            <w:noProof/>
            <w:webHidden/>
          </w:rPr>
          <w:instrText xml:space="preserve"> PAGEREF _Toc319311036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7" w:history="1">
        <w:r w:rsidRPr="00B87FA2">
          <w:rPr>
            <w:rStyle w:val="Hyperlink"/>
            <w:b/>
            <w:bCs/>
            <w:i/>
            <w:iCs/>
            <w:noProof/>
            <w:lang w:val="sr-Latn-CS"/>
          </w:rPr>
          <w:t>Televizije nacionalnog pokrića: TV 21 i KTV</w:t>
        </w:r>
        <w:r>
          <w:rPr>
            <w:noProof/>
            <w:webHidden/>
          </w:rPr>
          <w:tab/>
        </w:r>
        <w:r>
          <w:rPr>
            <w:noProof/>
            <w:webHidden/>
          </w:rPr>
          <w:fldChar w:fldCharType="begin"/>
        </w:r>
        <w:r>
          <w:rPr>
            <w:noProof/>
            <w:webHidden/>
          </w:rPr>
          <w:instrText xml:space="preserve"> PAGEREF _Toc319311037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8" w:history="1">
        <w:r w:rsidRPr="00B87FA2">
          <w:rPr>
            <w:rStyle w:val="Hyperlink"/>
            <w:b/>
            <w:bCs/>
            <w:i/>
            <w:iCs/>
            <w:noProof/>
            <w:lang w:val="sr-Latn-CS"/>
          </w:rPr>
          <w:t>Regionalne i lokalne televizije i PPU</w:t>
        </w:r>
        <w:r>
          <w:rPr>
            <w:noProof/>
            <w:webHidden/>
          </w:rPr>
          <w:tab/>
        </w:r>
        <w:r>
          <w:rPr>
            <w:noProof/>
            <w:webHidden/>
          </w:rPr>
          <w:fldChar w:fldCharType="begin"/>
        </w:r>
        <w:r>
          <w:rPr>
            <w:noProof/>
            <w:webHidden/>
          </w:rPr>
          <w:instrText xml:space="preserve"> PAGEREF _Toc319311038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39" w:history="1">
        <w:r w:rsidRPr="00B87FA2">
          <w:rPr>
            <w:rStyle w:val="Hyperlink"/>
            <w:b/>
            <w:bCs/>
            <w:i/>
            <w:iCs/>
            <w:noProof/>
            <w:lang w:val="sr-Latn-CS"/>
          </w:rPr>
          <w:t>Monitoring saglasnosti sa Uredbom o autorskom pravu</w:t>
        </w:r>
        <w:r>
          <w:rPr>
            <w:noProof/>
            <w:webHidden/>
          </w:rPr>
          <w:tab/>
        </w:r>
        <w:r>
          <w:rPr>
            <w:noProof/>
            <w:webHidden/>
          </w:rPr>
          <w:fldChar w:fldCharType="begin"/>
        </w:r>
        <w:r>
          <w:rPr>
            <w:noProof/>
            <w:webHidden/>
          </w:rPr>
          <w:instrText xml:space="preserve"> PAGEREF _Toc319311039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40" w:history="1">
        <w:r w:rsidRPr="00B87FA2">
          <w:rPr>
            <w:rStyle w:val="Hyperlink"/>
            <w:b/>
            <w:bCs/>
            <w:i/>
            <w:iCs/>
            <w:noProof/>
            <w:lang w:val="sr-Latn-CS"/>
          </w:rPr>
          <w:t>Saglasnost RTK sa članom 6.6 Zakona o RTK</w:t>
        </w:r>
        <w:r>
          <w:rPr>
            <w:noProof/>
            <w:webHidden/>
          </w:rPr>
          <w:tab/>
        </w:r>
        <w:r>
          <w:rPr>
            <w:noProof/>
            <w:webHidden/>
          </w:rPr>
          <w:fldChar w:fldCharType="begin"/>
        </w:r>
        <w:r>
          <w:rPr>
            <w:noProof/>
            <w:webHidden/>
          </w:rPr>
          <w:instrText xml:space="preserve"> PAGEREF _Toc319311040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41" w:history="1">
        <w:r w:rsidRPr="00B87FA2">
          <w:rPr>
            <w:rStyle w:val="Hyperlink"/>
            <w:b/>
            <w:bCs/>
            <w:i/>
            <w:iCs/>
            <w:noProof/>
            <w:lang w:val="sr-Latn-CS"/>
          </w:rPr>
          <w:t>Monitoring saglasnosti audiovizuelnih medijskih servisa sa 3 delom licence NKM</w:t>
        </w:r>
        <w:r>
          <w:rPr>
            <w:noProof/>
            <w:webHidden/>
          </w:rPr>
          <w:tab/>
        </w:r>
        <w:r>
          <w:rPr>
            <w:noProof/>
            <w:webHidden/>
          </w:rPr>
          <w:fldChar w:fldCharType="begin"/>
        </w:r>
        <w:r>
          <w:rPr>
            <w:noProof/>
            <w:webHidden/>
          </w:rPr>
          <w:instrText xml:space="preserve"> PAGEREF _Toc319311041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42" w:history="1">
        <w:r w:rsidRPr="00B87FA2">
          <w:rPr>
            <w:rStyle w:val="Hyperlink"/>
            <w:b/>
            <w:bCs/>
            <w:i/>
            <w:iCs/>
            <w:noProof/>
            <w:lang w:val="sr-Latn-CS"/>
          </w:rPr>
          <w:t>Monitoring zasnovan na žalbe</w:t>
        </w:r>
        <w:r>
          <w:rPr>
            <w:noProof/>
            <w:webHidden/>
          </w:rPr>
          <w:tab/>
        </w:r>
        <w:r>
          <w:rPr>
            <w:noProof/>
            <w:webHidden/>
          </w:rPr>
          <w:fldChar w:fldCharType="begin"/>
        </w:r>
        <w:r>
          <w:rPr>
            <w:noProof/>
            <w:webHidden/>
          </w:rPr>
          <w:instrText xml:space="preserve"> PAGEREF _Toc319311042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43" w:history="1">
        <w:r w:rsidRPr="00B87FA2">
          <w:rPr>
            <w:rStyle w:val="Hyperlink"/>
            <w:b/>
            <w:bCs/>
            <w:i/>
            <w:iCs/>
            <w:noProof/>
            <w:lang w:val="sr-Latn-CS"/>
          </w:rPr>
          <w:t>Posete/inspekcija audiovizuelnih medijskih servisa</w:t>
        </w:r>
        <w:r>
          <w:rPr>
            <w:noProof/>
            <w:webHidden/>
          </w:rPr>
          <w:tab/>
        </w:r>
        <w:r>
          <w:rPr>
            <w:noProof/>
            <w:webHidden/>
          </w:rPr>
          <w:fldChar w:fldCharType="begin"/>
        </w:r>
        <w:r>
          <w:rPr>
            <w:noProof/>
            <w:webHidden/>
          </w:rPr>
          <w:instrText xml:space="preserve"> PAGEREF _Toc319311043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44" w:history="1">
        <w:r w:rsidRPr="00B87FA2">
          <w:rPr>
            <w:rStyle w:val="Hyperlink"/>
            <w:b/>
            <w:bCs/>
            <w:noProof/>
            <w:lang w:val="sr-Latn-CS"/>
          </w:rPr>
          <w:t>ODELJENJE ZA LICENCIRANJE</w:t>
        </w:r>
        <w:r>
          <w:rPr>
            <w:noProof/>
            <w:webHidden/>
          </w:rPr>
          <w:tab/>
        </w:r>
        <w:r>
          <w:rPr>
            <w:noProof/>
            <w:webHidden/>
          </w:rPr>
          <w:fldChar w:fldCharType="begin"/>
        </w:r>
        <w:r>
          <w:rPr>
            <w:noProof/>
            <w:webHidden/>
          </w:rPr>
          <w:instrText xml:space="preserve"> PAGEREF _Toc319311044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45" w:history="1">
        <w:r w:rsidRPr="00B87FA2">
          <w:rPr>
            <w:rStyle w:val="Hyperlink"/>
            <w:b/>
            <w:bCs/>
            <w:i/>
            <w:iCs/>
            <w:noProof/>
            <w:lang w:val="sr-Latn-CS"/>
          </w:rPr>
          <w:t>Obaveštenje o plaćanju takse za licencu</w:t>
        </w:r>
        <w:r>
          <w:rPr>
            <w:noProof/>
            <w:webHidden/>
          </w:rPr>
          <w:tab/>
        </w:r>
        <w:r>
          <w:rPr>
            <w:noProof/>
            <w:webHidden/>
          </w:rPr>
          <w:fldChar w:fldCharType="begin"/>
        </w:r>
        <w:r>
          <w:rPr>
            <w:noProof/>
            <w:webHidden/>
          </w:rPr>
          <w:instrText xml:space="preserve"> PAGEREF _Toc319311045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46" w:history="1">
        <w:r w:rsidRPr="00B87FA2">
          <w:rPr>
            <w:rStyle w:val="Hyperlink"/>
            <w:noProof/>
            <w:lang w:val="sr-Latn-CS"/>
          </w:rPr>
          <w:t>Tokom 2011. godine su zbog finansijskih problema od dozvole NKM su odustala 2 elektronska medija i 1 provajder programskih usluga.</w:t>
        </w:r>
        <w:r>
          <w:rPr>
            <w:noProof/>
            <w:webHidden/>
          </w:rPr>
          <w:tab/>
        </w:r>
        <w:r>
          <w:rPr>
            <w:noProof/>
            <w:webHidden/>
          </w:rPr>
          <w:fldChar w:fldCharType="begin"/>
        </w:r>
        <w:r>
          <w:rPr>
            <w:noProof/>
            <w:webHidden/>
          </w:rPr>
          <w:instrText xml:space="preserve"> PAGEREF _Toc319311046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47" w:history="1">
        <w:r w:rsidRPr="00B87FA2">
          <w:rPr>
            <w:rStyle w:val="Hyperlink"/>
            <w:b/>
            <w:bCs/>
            <w:noProof/>
            <w:lang w:val="sr-Latn-CS"/>
          </w:rPr>
          <w:t>PRAVNO ODELJENJE</w:t>
        </w:r>
        <w:r>
          <w:rPr>
            <w:noProof/>
            <w:webHidden/>
          </w:rPr>
          <w:tab/>
        </w:r>
        <w:r>
          <w:rPr>
            <w:noProof/>
            <w:webHidden/>
          </w:rPr>
          <w:fldChar w:fldCharType="begin"/>
        </w:r>
        <w:r>
          <w:rPr>
            <w:noProof/>
            <w:webHidden/>
          </w:rPr>
          <w:instrText xml:space="preserve"> PAGEREF _Toc319311047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48" w:history="1">
        <w:r w:rsidRPr="00B87FA2">
          <w:rPr>
            <w:rStyle w:val="Hyperlink"/>
            <w:noProof/>
            <w:lang w:val="sr-Latn-CS"/>
          </w:rPr>
          <w:t>Pravno odeljenje je tokom 2011. godine razmatralo različite predmete elektronskih medija, provajdera programskih usluga i kablovskih operatora u vezi sa kršenjem odredbi Zakona 02/L-15 o Nezavisnoj komisiji za medije i radiodifuziju i ostalih podzakonskih akata NKM. Takođe su razmatrane i žalbe protiv elektronskih medija koje su NKM uputila fizička lica i različite organizacije.</w:t>
        </w:r>
        <w:r>
          <w:rPr>
            <w:noProof/>
            <w:webHidden/>
          </w:rPr>
          <w:tab/>
        </w:r>
        <w:r>
          <w:rPr>
            <w:noProof/>
            <w:webHidden/>
          </w:rPr>
          <w:fldChar w:fldCharType="begin"/>
        </w:r>
        <w:r>
          <w:rPr>
            <w:noProof/>
            <w:webHidden/>
          </w:rPr>
          <w:instrText xml:space="preserve"> PAGEREF _Toc319311048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left" w:pos="1100"/>
          <w:tab w:val="right" w:leader="dot" w:pos="9628"/>
        </w:tabs>
        <w:rPr>
          <w:rFonts w:ascii="Calibri" w:hAnsi="Calibri" w:cs="Calibri"/>
          <w:noProof/>
          <w:sz w:val="22"/>
          <w:szCs w:val="22"/>
          <w:lang w:val="en-US"/>
        </w:rPr>
      </w:pPr>
      <w:hyperlink w:anchor="_Toc319311049" w:history="1">
        <w:r w:rsidRPr="00B87FA2">
          <w:rPr>
            <w:rStyle w:val="Hyperlink"/>
            <w:b/>
            <w:bCs/>
            <w:i/>
            <w:iCs/>
            <w:noProof/>
            <w:lang w:val="sr-Latn-CS"/>
          </w:rPr>
          <w:t>1.</w:t>
        </w:r>
        <w:r>
          <w:rPr>
            <w:rFonts w:ascii="Calibri" w:hAnsi="Calibri" w:cs="Calibri"/>
            <w:noProof/>
            <w:sz w:val="22"/>
            <w:szCs w:val="22"/>
            <w:lang w:val="en-US"/>
          </w:rPr>
          <w:tab/>
        </w:r>
        <w:r w:rsidRPr="00B87FA2">
          <w:rPr>
            <w:rStyle w:val="Hyperlink"/>
            <w:b/>
            <w:bCs/>
            <w:i/>
            <w:iCs/>
            <w:noProof/>
            <w:lang w:val="sr-Latn-CS"/>
          </w:rPr>
          <w:t>Predmeti ilegalnog emitovanja</w:t>
        </w:r>
        <w:r>
          <w:rPr>
            <w:noProof/>
            <w:webHidden/>
          </w:rPr>
          <w:tab/>
        </w:r>
        <w:r>
          <w:rPr>
            <w:noProof/>
            <w:webHidden/>
          </w:rPr>
          <w:fldChar w:fldCharType="begin"/>
        </w:r>
        <w:r>
          <w:rPr>
            <w:noProof/>
            <w:webHidden/>
          </w:rPr>
          <w:instrText xml:space="preserve"> PAGEREF _Toc319311049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left" w:pos="1100"/>
          <w:tab w:val="right" w:leader="dot" w:pos="9628"/>
        </w:tabs>
        <w:rPr>
          <w:rFonts w:ascii="Calibri" w:hAnsi="Calibri" w:cs="Calibri"/>
          <w:noProof/>
          <w:sz w:val="22"/>
          <w:szCs w:val="22"/>
          <w:lang w:val="en-US"/>
        </w:rPr>
      </w:pPr>
      <w:hyperlink w:anchor="_Toc319311050" w:history="1">
        <w:r w:rsidRPr="00B87FA2">
          <w:rPr>
            <w:rStyle w:val="Hyperlink"/>
            <w:b/>
            <w:bCs/>
            <w:i/>
            <w:iCs/>
            <w:noProof/>
            <w:lang w:val="sr-Latn-CS"/>
          </w:rPr>
          <w:t>2.</w:t>
        </w:r>
        <w:r>
          <w:rPr>
            <w:rFonts w:ascii="Calibri" w:hAnsi="Calibri" w:cs="Calibri"/>
            <w:noProof/>
            <w:sz w:val="22"/>
            <w:szCs w:val="22"/>
            <w:lang w:val="en-US"/>
          </w:rPr>
          <w:tab/>
        </w:r>
        <w:r w:rsidRPr="00B87FA2">
          <w:rPr>
            <w:rStyle w:val="Hyperlink"/>
            <w:b/>
            <w:bCs/>
            <w:i/>
            <w:iCs/>
            <w:noProof/>
            <w:lang w:val="sr-Latn-CS"/>
          </w:rPr>
          <w:t>Predmeti kršenja Uredbe o audiovizuelnoj komercijalnoj komunikaciji SNKM 2009/04;</w:t>
        </w:r>
        <w:r>
          <w:rPr>
            <w:noProof/>
            <w:webHidden/>
          </w:rPr>
          <w:tab/>
        </w:r>
        <w:r>
          <w:rPr>
            <w:noProof/>
            <w:webHidden/>
          </w:rPr>
          <w:fldChar w:fldCharType="begin"/>
        </w:r>
        <w:r>
          <w:rPr>
            <w:noProof/>
            <w:webHidden/>
          </w:rPr>
          <w:instrText xml:space="preserve"> PAGEREF _Toc319311050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left" w:pos="1100"/>
          <w:tab w:val="right" w:leader="dot" w:pos="9628"/>
        </w:tabs>
        <w:rPr>
          <w:rFonts w:ascii="Calibri" w:hAnsi="Calibri" w:cs="Calibri"/>
          <w:noProof/>
          <w:sz w:val="22"/>
          <w:szCs w:val="22"/>
          <w:lang w:val="en-US"/>
        </w:rPr>
      </w:pPr>
      <w:hyperlink w:anchor="_Toc319311051" w:history="1">
        <w:r w:rsidRPr="00B87FA2">
          <w:rPr>
            <w:rStyle w:val="Hyperlink"/>
            <w:b/>
            <w:bCs/>
            <w:i/>
            <w:iCs/>
            <w:noProof/>
            <w:lang w:val="sr-Latn-CS"/>
          </w:rPr>
          <w:t>3.</w:t>
        </w:r>
        <w:r>
          <w:rPr>
            <w:rFonts w:ascii="Calibri" w:hAnsi="Calibri" w:cs="Calibri"/>
            <w:noProof/>
            <w:sz w:val="22"/>
            <w:szCs w:val="22"/>
            <w:lang w:val="en-US"/>
          </w:rPr>
          <w:tab/>
        </w:r>
        <w:r w:rsidRPr="00B87FA2">
          <w:rPr>
            <w:rStyle w:val="Hyperlink"/>
            <w:b/>
            <w:bCs/>
            <w:i/>
            <w:iCs/>
            <w:noProof/>
            <w:lang w:val="sr-Latn-CS"/>
          </w:rPr>
          <w:t>Predmeti kršenja Uredbe o zaštiti dece i maloletnika od štetnog programskog sadržaja SNKM 2009/01</w:t>
        </w:r>
        <w:r>
          <w:rPr>
            <w:noProof/>
            <w:webHidden/>
          </w:rPr>
          <w:tab/>
        </w:r>
        <w:r>
          <w:rPr>
            <w:noProof/>
            <w:webHidden/>
          </w:rPr>
          <w:fldChar w:fldCharType="begin"/>
        </w:r>
        <w:r>
          <w:rPr>
            <w:noProof/>
            <w:webHidden/>
          </w:rPr>
          <w:instrText xml:space="preserve"> PAGEREF _Toc319311051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52" w:history="1">
        <w:r w:rsidRPr="00B87FA2">
          <w:rPr>
            <w:rStyle w:val="Hyperlink"/>
            <w:b/>
            <w:bCs/>
            <w:noProof/>
            <w:lang w:val="sr-Latn-CS"/>
          </w:rPr>
          <w:t>4.  Predmeti kršenja Opštih uslova i pravila licence</w:t>
        </w:r>
        <w:r>
          <w:rPr>
            <w:noProof/>
            <w:webHidden/>
          </w:rPr>
          <w:tab/>
        </w:r>
        <w:r>
          <w:rPr>
            <w:noProof/>
            <w:webHidden/>
          </w:rPr>
          <w:fldChar w:fldCharType="begin"/>
        </w:r>
        <w:r>
          <w:rPr>
            <w:noProof/>
            <w:webHidden/>
          </w:rPr>
          <w:instrText xml:space="preserve"> PAGEREF _Toc319311052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53" w:history="1">
        <w:r w:rsidRPr="00B87FA2">
          <w:rPr>
            <w:rStyle w:val="Hyperlink"/>
            <w:b/>
            <w:bCs/>
            <w:i/>
            <w:iCs/>
            <w:noProof/>
            <w:lang w:val="sr-Latn-CS"/>
          </w:rPr>
          <w:t>4.1. Emitovanje bez autorskog prava</w:t>
        </w:r>
        <w:r>
          <w:rPr>
            <w:noProof/>
            <w:webHidden/>
          </w:rPr>
          <w:tab/>
        </w:r>
        <w:r>
          <w:rPr>
            <w:noProof/>
            <w:webHidden/>
          </w:rPr>
          <w:fldChar w:fldCharType="begin"/>
        </w:r>
        <w:r>
          <w:rPr>
            <w:noProof/>
            <w:webHidden/>
          </w:rPr>
          <w:instrText xml:space="preserve"> PAGEREF _Toc319311053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54" w:history="1">
        <w:r w:rsidRPr="00B87FA2">
          <w:rPr>
            <w:rStyle w:val="Hyperlink"/>
            <w:b/>
            <w:bCs/>
            <w:i/>
            <w:iCs/>
            <w:noProof/>
            <w:lang w:val="sr-Latn-CS"/>
          </w:rPr>
          <w:t>4.2.  Nevođenje arhive</w:t>
        </w:r>
        <w:r>
          <w:rPr>
            <w:noProof/>
            <w:webHidden/>
          </w:rPr>
          <w:tab/>
        </w:r>
        <w:r>
          <w:rPr>
            <w:noProof/>
            <w:webHidden/>
          </w:rPr>
          <w:fldChar w:fldCharType="begin"/>
        </w:r>
        <w:r>
          <w:rPr>
            <w:noProof/>
            <w:webHidden/>
          </w:rPr>
          <w:instrText xml:space="preserve"> PAGEREF _Toc319311054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55" w:history="1">
        <w:r w:rsidRPr="00B87FA2">
          <w:rPr>
            <w:rStyle w:val="Hyperlink"/>
            <w:b/>
            <w:bCs/>
            <w:i/>
            <w:iCs/>
            <w:noProof/>
            <w:lang w:val="sr-Latn-CS"/>
          </w:rPr>
          <w:t>4.3. Korišćenje frekvencija bez dozvole NKM</w:t>
        </w:r>
        <w:r>
          <w:rPr>
            <w:noProof/>
            <w:webHidden/>
          </w:rPr>
          <w:tab/>
        </w:r>
        <w:r>
          <w:rPr>
            <w:noProof/>
            <w:webHidden/>
          </w:rPr>
          <w:fldChar w:fldCharType="begin"/>
        </w:r>
        <w:r>
          <w:rPr>
            <w:noProof/>
            <w:webHidden/>
          </w:rPr>
          <w:instrText xml:space="preserve"> PAGEREF _Toc319311055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56" w:history="1">
        <w:r w:rsidRPr="00B87FA2">
          <w:rPr>
            <w:rStyle w:val="Hyperlink"/>
            <w:b/>
            <w:bCs/>
            <w:i/>
            <w:iCs/>
            <w:noProof/>
            <w:lang w:val="sr-Latn-CS"/>
          </w:rPr>
          <w:t>5. Predmeti kršenja Uredbe SNKM 2010/01 – neplaćanje takse za licencu</w:t>
        </w:r>
        <w:r>
          <w:rPr>
            <w:noProof/>
            <w:webHidden/>
          </w:rPr>
          <w:tab/>
        </w:r>
        <w:r>
          <w:rPr>
            <w:noProof/>
            <w:webHidden/>
          </w:rPr>
          <w:fldChar w:fldCharType="begin"/>
        </w:r>
        <w:r>
          <w:rPr>
            <w:noProof/>
            <w:webHidden/>
          </w:rPr>
          <w:instrText xml:space="preserve"> PAGEREF _Toc319311056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57" w:history="1">
        <w:r w:rsidRPr="00B87FA2">
          <w:rPr>
            <w:rStyle w:val="Hyperlink"/>
            <w:b/>
            <w:bCs/>
            <w:i/>
            <w:iCs/>
            <w:noProof/>
            <w:lang w:val="sr-Latn-CS"/>
          </w:rPr>
          <w:t>6. Ostali proceduralni predmeti NKM tokom 2011. godine</w:t>
        </w:r>
        <w:r>
          <w:rPr>
            <w:noProof/>
            <w:webHidden/>
          </w:rPr>
          <w:tab/>
        </w:r>
        <w:r>
          <w:rPr>
            <w:noProof/>
            <w:webHidden/>
          </w:rPr>
          <w:fldChar w:fldCharType="begin"/>
        </w:r>
        <w:r>
          <w:rPr>
            <w:noProof/>
            <w:webHidden/>
          </w:rPr>
          <w:instrText xml:space="preserve"> PAGEREF _Toc319311057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58" w:history="1">
        <w:r w:rsidRPr="00B87FA2">
          <w:rPr>
            <w:rStyle w:val="Hyperlink"/>
            <w:b/>
            <w:bCs/>
            <w:noProof/>
            <w:lang w:val="sr-Latn-CS"/>
          </w:rPr>
          <w:t>Odeljenje za upravljanje frekvencijama</w:t>
        </w:r>
        <w:r>
          <w:rPr>
            <w:noProof/>
            <w:webHidden/>
          </w:rPr>
          <w:tab/>
        </w:r>
        <w:r>
          <w:rPr>
            <w:noProof/>
            <w:webHidden/>
          </w:rPr>
          <w:fldChar w:fldCharType="begin"/>
        </w:r>
        <w:r>
          <w:rPr>
            <w:noProof/>
            <w:webHidden/>
          </w:rPr>
          <w:instrText xml:space="preserve"> PAGEREF _Toc319311058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59" w:history="1">
        <w:r w:rsidRPr="00B87FA2">
          <w:rPr>
            <w:rStyle w:val="Hyperlink"/>
            <w:b/>
            <w:bCs/>
            <w:i/>
            <w:iCs/>
            <w:noProof/>
            <w:lang w:val="sr-Latn-CS"/>
          </w:rPr>
          <w:t>Analiza spektra frekvencija</w:t>
        </w:r>
        <w:r>
          <w:rPr>
            <w:noProof/>
            <w:webHidden/>
          </w:rPr>
          <w:tab/>
        </w:r>
        <w:r>
          <w:rPr>
            <w:noProof/>
            <w:webHidden/>
          </w:rPr>
          <w:fldChar w:fldCharType="begin"/>
        </w:r>
        <w:r>
          <w:rPr>
            <w:noProof/>
            <w:webHidden/>
          </w:rPr>
          <w:instrText xml:space="preserve"> PAGEREF _Toc319311059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60" w:history="1">
        <w:r w:rsidRPr="00B87FA2">
          <w:rPr>
            <w:rStyle w:val="Hyperlink"/>
            <w:b/>
            <w:bCs/>
            <w:i/>
            <w:iCs/>
            <w:noProof/>
            <w:lang w:val="sr-Latn-CS"/>
          </w:rPr>
          <w:t>Pokrivanje televizijskim signalom na nacionalnom nivou (RTK, KTV, RTV21)</w:t>
        </w:r>
        <w:r>
          <w:rPr>
            <w:noProof/>
            <w:webHidden/>
          </w:rPr>
          <w:tab/>
        </w:r>
        <w:r>
          <w:rPr>
            <w:noProof/>
            <w:webHidden/>
          </w:rPr>
          <w:fldChar w:fldCharType="begin"/>
        </w:r>
        <w:r>
          <w:rPr>
            <w:noProof/>
            <w:webHidden/>
          </w:rPr>
          <w:instrText xml:space="preserve"> PAGEREF _Toc319311060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61" w:history="1">
        <w:r w:rsidRPr="00B87FA2">
          <w:rPr>
            <w:rStyle w:val="Hyperlink"/>
            <w:b/>
            <w:bCs/>
            <w:i/>
            <w:iCs/>
            <w:noProof/>
            <w:lang w:val="sr-Latn-CS"/>
          </w:rPr>
          <w:t>Pokrivanje radio FM signalom na nacionalnom nivou (Radio Kosova, Radio Blue Sky, Radio 21 i Radio Dukagjini)</w:t>
        </w:r>
        <w:r>
          <w:rPr>
            <w:noProof/>
            <w:webHidden/>
          </w:rPr>
          <w:tab/>
        </w:r>
        <w:r>
          <w:rPr>
            <w:noProof/>
            <w:webHidden/>
          </w:rPr>
          <w:fldChar w:fldCharType="begin"/>
        </w:r>
        <w:r>
          <w:rPr>
            <w:noProof/>
            <w:webHidden/>
          </w:rPr>
          <w:instrText xml:space="preserve"> PAGEREF _Toc319311061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62" w:history="1">
        <w:r w:rsidRPr="00B87FA2">
          <w:rPr>
            <w:rStyle w:val="Hyperlink"/>
            <w:b/>
            <w:bCs/>
            <w:i/>
            <w:iCs/>
            <w:noProof/>
            <w:lang w:val="sr-Latn-CS"/>
          </w:rPr>
          <w:t>Pokrivanje televizijskim signalom na regionalnom i lokalnom nivou</w:t>
        </w:r>
        <w:r>
          <w:rPr>
            <w:noProof/>
            <w:webHidden/>
          </w:rPr>
          <w:tab/>
        </w:r>
        <w:r>
          <w:rPr>
            <w:noProof/>
            <w:webHidden/>
          </w:rPr>
          <w:fldChar w:fldCharType="begin"/>
        </w:r>
        <w:r>
          <w:rPr>
            <w:noProof/>
            <w:webHidden/>
          </w:rPr>
          <w:instrText xml:space="preserve"> PAGEREF _Toc319311062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63" w:history="1">
        <w:r w:rsidRPr="00B87FA2">
          <w:rPr>
            <w:rStyle w:val="Hyperlink"/>
            <w:b/>
            <w:bCs/>
            <w:i/>
            <w:iCs/>
            <w:noProof/>
            <w:lang w:val="sr-Latn-CS"/>
          </w:rPr>
          <w:t>Slučajevi smetnji</w:t>
        </w:r>
        <w:r>
          <w:rPr>
            <w:noProof/>
            <w:webHidden/>
          </w:rPr>
          <w:tab/>
        </w:r>
        <w:r>
          <w:rPr>
            <w:noProof/>
            <w:webHidden/>
          </w:rPr>
          <w:fldChar w:fldCharType="begin"/>
        </w:r>
        <w:r>
          <w:rPr>
            <w:noProof/>
            <w:webHidden/>
          </w:rPr>
          <w:instrText xml:space="preserve"> PAGEREF _Toc319311063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64" w:history="1">
        <w:r w:rsidRPr="00B87FA2">
          <w:rPr>
            <w:rStyle w:val="Hyperlink"/>
            <w:b/>
            <w:bCs/>
            <w:i/>
            <w:iCs/>
            <w:noProof/>
            <w:lang w:val="sr-Latn-CS"/>
          </w:rPr>
          <w:t>Slučajevi emitovanja bez licence</w:t>
        </w:r>
        <w:r>
          <w:rPr>
            <w:noProof/>
            <w:webHidden/>
          </w:rPr>
          <w:tab/>
        </w:r>
        <w:r>
          <w:rPr>
            <w:noProof/>
            <w:webHidden/>
          </w:rPr>
          <w:fldChar w:fldCharType="begin"/>
        </w:r>
        <w:r>
          <w:rPr>
            <w:noProof/>
            <w:webHidden/>
          </w:rPr>
          <w:instrText xml:space="preserve"> PAGEREF _Toc319311064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4"/>
        <w:tabs>
          <w:tab w:val="right" w:leader="dot" w:pos="9628"/>
        </w:tabs>
        <w:rPr>
          <w:rFonts w:ascii="Calibri" w:hAnsi="Calibri" w:cs="Calibri"/>
          <w:noProof/>
          <w:sz w:val="22"/>
          <w:szCs w:val="22"/>
          <w:lang w:val="en-US"/>
        </w:rPr>
      </w:pPr>
      <w:hyperlink w:anchor="_Toc319311065" w:history="1">
        <w:r w:rsidRPr="00B87FA2">
          <w:rPr>
            <w:rStyle w:val="Hyperlink"/>
            <w:b/>
            <w:bCs/>
            <w:i/>
            <w:iCs/>
            <w:noProof/>
            <w:lang w:val="sr-Latn-CS"/>
          </w:rPr>
          <w:t>Monitoring međunarodnih radio frekvencija</w:t>
        </w:r>
        <w:r>
          <w:rPr>
            <w:noProof/>
            <w:webHidden/>
          </w:rPr>
          <w:tab/>
        </w:r>
        <w:r>
          <w:rPr>
            <w:noProof/>
            <w:webHidden/>
          </w:rPr>
          <w:fldChar w:fldCharType="begin"/>
        </w:r>
        <w:r>
          <w:rPr>
            <w:noProof/>
            <w:webHidden/>
          </w:rPr>
          <w:instrText xml:space="preserve"> PAGEREF _Toc319311065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66" w:history="1">
        <w:r w:rsidRPr="00B87FA2">
          <w:rPr>
            <w:rStyle w:val="Hyperlink"/>
            <w:b/>
            <w:bCs/>
            <w:noProof/>
            <w:lang w:val="sr-Latn-CS"/>
          </w:rPr>
          <w:t>ODELJENJE ADMINISTRACIJE I FINANSIJA</w:t>
        </w:r>
        <w:r>
          <w:rPr>
            <w:noProof/>
            <w:webHidden/>
          </w:rPr>
          <w:tab/>
        </w:r>
        <w:r>
          <w:rPr>
            <w:noProof/>
            <w:webHidden/>
          </w:rPr>
          <w:fldChar w:fldCharType="begin"/>
        </w:r>
        <w:r>
          <w:rPr>
            <w:noProof/>
            <w:webHidden/>
          </w:rPr>
          <w:instrText xml:space="preserve"> PAGEREF _Toc319311066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67" w:history="1">
        <w:r w:rsidRPr="00B87FA2">
          <w:rPr>
            <w:rStyle w:val="Hyperlink"/>
            <w:b/>
            <w:bCs/>
            <w:i/>
            <w:iCs/>
            <w:noProof/>
            <w:lang w:val="sr-Latn-CS"/>
          </w:rPr>
          <w:t>Budžet</w:t>
        </w:r>
        <w:r>
          <w:rPr>
            <w:noProof/>
            <w:webHidden/>
          </w:rPr>
          <w:tab/>
        </w:r>
        <w:r>
          <w:rPr>
            <w:noProof/>
            <w:webHidden/>
          </w:rPr>
          <w:fldChar w:fldCharType="begin"/>
        </w:r>
        <w:r>
          <w:rPr>
            <w:noProof/>
            <w:webHidden/>
          </w:rPr>
          <w:instrText xml:space="preserve"> PAGEREF _Toc319311067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1"/>
        <w:rPr>
          <w:rFonts w:ascii="Calibri" w:hAnsi="Calibri" w:cs="Calibri"/>
          <w:noProof/>
          <w:sz w:val="22"/>
          <w:szCs w:val="22"/>
          <w:lang w:val="en-US"/>
        </w:rPr>
      </w:pPr>
      <w:hyperlink w:anchor="_Toc319311068" w:history="1">
        <w:r w:rsidRPr="00B87FA2">
          <w:rPr>
            <w:rStyle w:val="Hyperlink"/>
            <w:noProof/>
            <w:lang w:val="sr-Latn-CS"/>
          </w:rPr>
          <w:t>Nezavisna komisija za medije je budžetska organizacija koja se finansira iz budžeta Republike Kosovo. NKM je za 2011. godinu određen budžet od 901,939.00 evra, uključujući sopstvene prihode od 212,000.00 evra i kapitalne investicije od 450,000.00 evra.</w:t>
        </w:r>
        <w:r>
          <w:rPr>
            <w:noProof/>
            <w:webHidden/>
          </w:rPr>
          <w:tab/>
        </w:r>
        <w:r>
          <w:rPr>
            <w:noProof/>
            <w:webHidden/>
          </w:rPr>
          <w:fldChar w:fldCharType="begin"/>
        </w:r>
        <w:r>
          <w:rPr>
            <w:noProof/>
            <w:webHidden/>
          </w:rPr>
          <w:instrText xml:space="preserve"> PAGEREF _Toc319311068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69" w:history="1">
        <w:r w:rsidRPr="00B87FA2">
          <w:rPr>
            <w:rStyle w:val="Hyperlink"/>
            <w:b/>
            <w:bCs/>
            <w:noProof/>
            <w:lang w:val="sr-Latn-CS"/>
          </w:rPr>
          <w:t>DEO V</w:t>
        </w:r>
        <w:r>
          <w:rPr>
            <w:noProof/>
            <w:webHidden/>
          </w:rPr>
          <w:tab/>
        </w:r>
        <w:r>
          <w:rPr>
            <w:noProof/>
            <w:webHidden/>
          </w:rPr>
          <w:fldChar w:fldCharType="begin"/>
        </w:r>
        <w:r>
          <w:rPr>
            <w:noProof/>
            <w:webHidden/>
          </w:rPr>
          <w:instrText xml:space="preserve"> PAGEREF _Toc319311069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70" w:history="1">
        <w:r w:rsidRPr="00B87FA2">
          <w:rPr>
            <w:rStyle w:val="Hyperlink"/>
            <w:b/>
            <w:bCs/>
            <w:noProof/>
            <w:lang w:val="sr-Latn-CS"/>
          </w:rPr>
          <w:t>IZVEŠTAJ O RADU ODBORA ZA ŽALBE MEDIJA (OŽM)</w:t>
        </w:r>
        <w:r>
          <w:rPr>
            <w:noProof/>
            <w:webHidden/>
          </w:rPr>
          <w:tab/>
        </w:r>
        <w:r>
          <w:rPr>
            <w:noProof/>
            <w:webHidden/>
          </w:rPr>
          <w:fldChar w:fldCharType="begin"/>
        </w:r>
        <w:r>
          <w:rPr>
            <w:noProof/>
            <w:webHidden/>
          </w:rPr>
          <w:instrText xml:space="preserve"> PAGEREF _Toc319311070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71" w:history="1">
        <w:r w:rsidRPr="00B87FA2">
          <w:rPr>
            <w:rStyle w:val="Hyperlink"/>
            <w:b/>
            <w:bCs/>
            <w:i/>
            <w:iCs/>
            <w:noProof/>
            <w:lang w:val="sr-Latn-CS"/>
          </w:rPr>
          <w:t>Sastanci i odluke OŽM</w:t>
        </w:r>
        <w:r>
          <w:rPr>
            <w:noProof/>
            <w:webHidden/>
          </w:rPr>
          <w:tab/>
        </w:r>
        <w:r>
          <w:rPr>
            <w:noProof/>
            <w:webHidden/>
          </w:rPr>
          <w:fldChar w:fldCharType="begin"/>
        </w:r>
        <w:r>
          <w:rPr>
            <w:noProof/>
            <w:webHidden/>
          </w:rPr>
          <w:instrText xml:space="preserve"> PAGEREF _Toc319311071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3"/>
        <w:tabs>
          <w:tab w:val="right" w:leader="dot" w:pos="9628"/>
        </w:tabs>
        <w:rPr>
          <w:rFonts w:ascii="Calibri" w:hAnsi="Calibri" w:cs="Calibri"/>
          <w:noProof/>
          <w:sz w:val="22"/>
          <w:szCs w:val="22"/>
          <w:lang w:val="en-US"/>
        </w:rPr>
      </w:pPr>
      <w:hyperlink w:anchor="_Toc319311072" w:history="1">
        <w:r w:rsidRPr="00B87FA2">
          <w:rPr>
            <w:rStyle w:val="Hyperlink"/>
            <w:b/>
            <w:bCs/>
            <w:i/>
            <w:iCs/>
            <w:noProof/>
            <w:lang w:val="sr-Latn-CS"/>
          </w:rPr>
          <w:t>Proces nominacije za trećeg člana OŽM</w:t>
        </w:r>
        <w:r>
          <w:rPr>
            <w:noProof/>
            <w:webHidden/>
          </w:rPr>
          <w:tab/>
        </w:r>
        <w:r>
          <w:rPr>
            <w:noProof/>
            <w:webHidden/>
          </w:rPr>
          <w:fldChar w:fldCharType="begin"/>
        </w:r>
        <w:r>
          <w:rPr>
            <w:noProof/>
            <w:webHidden/>
          </w:rPr>
          <w:instrText xml:space="preserve"> PAGEREF _Toc319311072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73" w:history="1">
        <w:r w:rsidRPr="00B87FA2">
          <w:rPr>
            <w:rStyle w:val="Hyperlink"/>
            <w:b/>
            <w:bCs/>
            <w:noProof/>
            <w:lang w:val="sr-Latn-CS"/>
          </w:rPr>
          <w:t>SARADNJA SA DOMAĆIM INSTITUCIJAMA</w:t>
        </w:r>
        <w:r>
          <w:rPr>
            <w:noProof/>
            <w:webHidden/>
          </w:rPr>
          <w:tab/>
        </w:r>
        <w:r>
          <w:rPr>
            <w:noProof/>
            <w:webHidden/>
          </w:rPr>
          <w:fldChar w:fldCharType="begin"/>
        </w:r>
        <w:r>
          <w:rPr>
            <w:noProof/>
            <w:webHidden/>
          </w:rPr>
          <w:instrText xml:space="preserve"> PAGEREF _Toc319311073 \h </w:instrText>
        </w:r>
        <w:r>
          <w:rPr>
            <w:noProof/>
          </w:rPr>
        </w:r>
        <w:r>
          <w:rPr>
            <w:noProof/>
            <w:webHidden/>
          </w:rPr>
          <w:fldChar w:fldCharType="separate"/>
        </w:r>
        <w:r>
          <w:rPr>
            <w:noProof/>
            <w:webHidden/>
          </w:rPr>
          <w:t>3</w:t>
        </w:r>
        <w:r>
          <w:rPr>
            <w:noProof/>
            <w:webHidden/>
          </w:rPr>
          <w:fldChar w:fldCharType="end"/>
        </w:r>
      </w:hyperlink>
    </w:p>
    <w:p w:rsidR="00E843CB" w:rsidRDefault="00E843CB">
      <w:pPr>
        <w:pStyle w:val="TOC2"/>
        <w:tabs>
          <w:tab w:val="right" w:leader="dot" w:pos="9628"/>
        </w:tabs>
        <w:rPr>
          <w:rFonts w:ascii="Calibri" w:hAnsi="Calibri" w:cs="Calibri"/>
          <w:noProof/>
          <w:sz w:val="22"/>
          <w:szCs w:val="22"/>
          <w:lang w:val="en-US"/>
        </w:rPr>
      </w:pPr>
      <w:hyperlink w:anchor="_Toc319311074" w:history="1">
        <w:r w:rsidRPr="00B87FA2">
          <w:rPr>
            <w:rStyle w:val="Hyperlink"/>
            <w:b/>
            <w:bCs/>
            <w:noProof/>
            <w:lang w:val="sr-Latn-CS"/>
          </w:rPr>
          <w:t>SARADNJA SA MEĐUNARODNIM INSTITUCIJAMA</w:t>
        </w:r>
        <w:r>
          <w:rPr>
            <w:noProof/>
            <w:webHidden/>
          </w:rPr>
          <w:tab/>
        </w:r>
        <w:r>
          <w:rPr>
            <w:noProof/>
            <w:webHidden/>
          </w:rPr>
          <w:fldChar w:fldCharType="begin"/>
        </w:r>
        <w:r>
          <w:rPr>
            <w:noProof/>
            <w:webHidden/>
          </w:rPr>
          <w:instrText xml:space="preserve"> PAGEREF _Toc319311074 \h </w:instrText>
        </w:r>
        <w:r>
          <w:rPr>
            <w:noProof/>
          </w:rPr>
        </w:r>
        <w:r>
          <w:rPr>
            <w:noProof/>
            <w:webHidden/>
          </w:rPr>
          <w:fldChar w:fldCharType="separate"/>
        </w:r>
        <w:r>
          <w:rPr>
            <w:noProof/>
            <w:webHidden/>
          </w:rPr>
          <w:t>3</w:t>
        </w:r>
        <w:r>
          <w:rPr>
            <w:noProof/>
            <w:webHidden/>
          </w:rPr>
          <w:fldChar w:fldCharType="end"/>
        </w:r>
      </w:hyperlink>
    </w:p>
    <w:p w:rsidR="00E843CB" w:rsidRPr="00B4287C" w:rsidRDefault="00E843CB" w:rsidP="00947121">
      <w:pPr>
        <w:spacing w:line="360" w:lineRule="auto"/>
        <w:jc w:val="both"/>
        <w:outlineLvl w:val="0"/>
        <w:rPr>
          <w:b/>
          <w:bCs/>
          <w:i/>
          <w:iCs/>
          <w:color w:val="000000"/>
          <w:u w:val="single"/>
          <w:lang w:val="sr-Latn-CS"/>
        </w:rPr>
      </w:pPr>
      <w:r w:rsidRPr="00B4287C">
        <w:rPr>
          <w:b/>
          <w:bCs/>
          <w:i/>
          <w:iCs/>
          <w:color w:val="000000"/>
          <w:u w:val="single"/>
          <w:lang w:val="sr-Latn-CS"/>
        </w:rPr>
        <w:fldChar w:fldCharType="end"/>
      </w:r>
      <w:r w:rsidRPr="00B4287C">
        <w:rPr>
          <w:b/>
          <w:bCs/>
          <w:i/>
          <w:iCs/>
          <w:color w:val="000000"/>
          <w:u w:val="single"/>
          <w:lang w:val="sr-Latn-CS"/>
        </w:rPr>
        <w:br w:type="page"/>
      </w:r>
    </w:p>
    <w:p w:rsidR="00E843CB" w:rsidRPr="00B4287C" w:rsidRDefault="00E843CB" w:rsidP="00F658FC">
      <w:pPr>
        <w:jc w:val="center"/>
        <w:outlineLvl w:val="0"/>
        <w:rPr>
          <w:b/>
          <w:bCs/>
          <w:color w:val="000000"/>
          <w:lang w:val="sr-Latn-CS"/>
        </w:rPr>
      </w:pPr>
      <w:bookmarkStart w:id="3" w:name="_Toc319311009"/>
      <w:bookmarkStart w:id="4" w:name="_Toc318275279"/>
      <w:bookmarkStart w:id="5" w:name="_Toc318275968"/>
      <w:bookmarkStart w:id="6" w:name="_Toc318357723"/>
      <w:r>
        <w:rPr>
          <w:b/>
          <w:bCs/>
          <w:color w:val="000000"/>
          <w:lang w:val="sr-Latn-CS"/>
        </w:rPr>
        <w:t>ANEKSI</w:t>
      </w:r>
      <w:bookmarkEnd w:id="3"/>
      <w:r>
        <w:rPr>
          <w:b/>
          <w:bCs/>
          <w:color w:val="000000"/>
          <w:lang w:val="sr-Latn-CS"/>
        </w:rPr>
        <w:t xml:space="preserve"> </w:t>
      </w:r>
      <w:bookmarkEnd w:id="4"/>
      <w:bookmarkEnd w:id="5"/>
      <w:bookmarkEnd w:id="6"/>
    </w:p>
    <w:p w:rsidR="00E843CB" w:rsidRPr="00B4287C" w:rsidRDefault="00E843CB" w:rsidP="006740F1">
      <w:pPr>
        <w:jc w:val="both"/>
        <w:outlineLvl w:val="0"/>
        <w:rPr>
          <w:b/>
          <w:bCs/>
          <w:color w:val="000000"/>
          <w:u w:val="single"/>
          <w:lang w:val="sr-Latn-CS"/>
        </w:rPr>
      </w:pPr>
    </w:p>
    <w:p w:rsidR="00E843CB" w:rsidRPr="00B4287C" w:rsidRDefault="00E843CB" w:rsidP="006740F1">
      <w:pPr>
        <w:jc w:val="both"/>
        <w:outlineLvl w:val="0"/>
        <w:rPr>
          <w:b/>
          <w:bCs/>
          <w:color w:val="000000"/>
          <w:u w:val="single"/>
          <w:lang w:val="sr-Latn-CS"/>
        </w:rPr>
      </w:pPr>
    </w:p>
    <w:p w:rsidR="00E843CB" w:rsidRPr="00B4287C" w:rsidRDefault="00E843CB" w:rsidP="002A58E2">
      <w:pPr>
        <w:numPr>
          <w:ilvl w:val="0"/>
          <w:numId w:val="5"/>
        </w:numPr>
        <w:spacing w:line="360" w:lineRule="auto"/>
        <w:jc w:val="both"/>
        <w:outlineLvl w:val="0"/>
        <w:rPr>
          <w:color w:val="000000"/>
          <w:lang w:val="sr-Latn-CS"/>
        </w:rPr>
      </w:pPr>
      <w:bookmarkStart w:id="7" w:name="_Toc318275280"/>
      <w:bookmarkStart w:id="8" w:name="_Toc318275969"/>
      <w:bookmarkStart w:id="9" w:name="_Toc318357724"/>
      <w:bookmarkStart w:id="10" w:name="_Toc319311010"/>
      <w:r>
        <w:rPr>
          <w:color w:val="000000"/>
          <w:lang w:val="sr-Latn-CS"/>
        </w:rPr>
        <w:t>Finansijski izveštaj za 2011.</w:t>
      </w:r>
      <w:bookmarkEnd w:id="7"/>
      <w:bookmarkEnd w:id="8"/>
      <w:bookmarkEnd w:id="9"/>
      <w:r>
        <w:rPr>
          <w:color w:val="000000"/>
          <w:lang w:val="sr-Latn-CS"/>
        </w:rPr>
        <w:t xml:space="preserve"> godinu</w:t>
      </w:r>
      <w:bookmarkEnd w:id="10"/>
    </w:p>
    <w:p w:rsidR="00E843CB" w:rsidRPr="00B4287C" w:rsidRDefault="00E843CB" w:rsidP="00F658FC">
      <w:pPr>
        <w:spacing w:line="360" w:lineRule="auto"/>
        <w:ind w:left="540"/>
        <w:jc w:val="both"/>
        <w:outlineLvl w:val="0"/>
        <w:rPr>
          <w:color w:val="000000"/>
          <w:lang w:val="sr-Latn-CS"/>
        </w:rPr>
      </w:pPr>
    </w:p>
    <w:p w:rsidR="00E843CB" w:rsidRPr="00B4287C" w:rsidRDefault="00E843CB" w:rsidP="002A58E2">
      <w:pPr>
        <w:numPr>
          <w:ilvl w:val="0"/>
          <w:numId w:val="5"/>
        </w:numPr>
        <w:spacing w:line="360" w:lineRule="auto"/>
        <w:jc w:val="both"/>
        <w:outlineLvl w:val="0"/>
        <w:rPr>
          <w:lang w:val="sr-Latn-CS"/>
        </w:rPr>
      </w:pPr>
      <w:bookmarkStart w:id="11" w:name="_Toc318275281"/>
      <w:bookmarkStart w:id="12" w:name="_Toc318275970"/>
      <w:bookmarkStart w:id="13" w:name="_Toc318357725"/>
      <w:bookmarkStart w:id="14" w:name="_Toc319311011"/>
      <w:r>
        <w:rPr>
          <w:lang w:val="sr-Latn-CS"/>
        </w:rPr>
        <w:t>Izveštaj o monitoringu – saglasnost audiovizuelnih medijskih servisa sa Uredbom o zaštiti dece i maloletnika od štetnog programskog sadržaja SNK</w:t>
      </w:r>
      <w:r w:rsidRPr="00B4287C">
        <w:rPr>
          <w:lang w:val="sr-Latn-CS"/>
        </w:rPr>
        <w:t>M</w:t>
      </w:r>
      <w:bookmarkEnd w:id="11"/>
      <w:r w:rsidRPr="00B4287C">
        <w:rPr>
          <w:lang w:val="sr-Latn-CS"/>
        </w:rPr>
        <w:t xml:space="preserve"> 2009/01</w:t>
      </w:r>
      <w:bookmarkEnd w:id="12"/>
      <w:bookmarkEnd w:id="13"/>
      <w:bookmarkEnd w:id="14"/>
      <w:r w:rsidRPr="00B4287C">
        <w:rPr>
          <w:lang w:val="sr-Latn-CS"/>
        </w:rPr>
        <w:t xml:space="preserve"> </w:t>
      </w:r>
    </w:p>
    <w:p w:rsidR="00E843CB" w:rsidRPr="00B4287C" w:rsidRDefault="00E843CB" w:rsidP="00F658FC">
      <w:pPr>
        <w:pStyle w:val="ListParagraph"/>
        <w:rPr>
          <w:rFonts w:cs="Times New Roman"/>
          <w:lang w:val="sr-Latn-CS"/>
        </w:rPr>
      </w:pPr>
    </w:p>
    <w:p w:rsidR="00E843CB" w:rsidRPr="00B4287C" w:rsidRDefault="00E843CB" w:rsidP="002A58E2">
      <w:pPr>
        <w:numPr>
          <w:ilvl w:val="0"/>
          <w:numId w:val="5"/>
        </w:numPr>
        <w:spacing w:line="360" w:lineRule="auto"/>
        <w:jc w:val="both"/>
        <w:outlineLvl w:val="0"/>
        <w:rPr>
          <w:lang w:val="sr-Latn-CS"/>
        </w:rPr>
      </w:pPr>
      <w:bookmarkStart w:id="15" w:name="_Toc318275282"/>
      <w:bookmarkStart w:id="16" w:name="_Toc318275971"/>
      <w:bookmarkStart w:id="17" w:name="_Toc318357726"/>
      <w:bookmarkStart w:id="18" w:name="_Toc319311012"/>
      <w:r>
        <w:rPr>
          <w:lang w:val="sr-Latn-CS"/>
        </w:rPr>
        <w:t>Izveštaj o monitoringu – saglasnost audiovizuelnih medijskih servisa sa Uredbom o komercijalnoj komunikaciji SNK</w:t>
      </w:r>
      <w:r w:rsidRPr="00B4287C">
        <w:rPr>
          <w:lang w:val="sr-Latn-CS"/>
        </w:rPr>
        <w:t>M 2009/04</w:t>
      </w:r>
      <w:bookmarkEnd w:id="15"/>
      <w:bookmarkEnd w:id="16"/>
      <w:bookmarkEnd w:id="17"/>
      <w:bookmarkEnd w:id="18"/>
    </w:p>
    <w:p w:rsidR="00E843CB" w:rsidRPr="00B4287C" w:rsidRDefault="00E843CB" w:rsidP="00F658FC">
      <w:pPr>
        <w:pStyle w:val="ListParagraph"/>
        <w:rPr>
          <w:rFonts w:cs="Times New Roman"/>
          <w:lang w:val="sr-Latn-CS"/>
        </w:rPr>
      </w:pPr>
    </w:p>
    <w:p w:rsidR="00E843CB" w:rsidRPr="00B4287C" w:rsidRDefault="00E843CB" w:rsidP="002A58E2">
      <w:pPr>
        <w:numPr>
          <w:ilvl w:val="0"/>
          <w:numId w:val="5"/>
        </w:numPr>
        <w:spacing w:line="360" w:lineRule="auto"/>
        <w:jc w:val="both"/>
        <w:outlineLvl w:val="0"/>
        <w:rPr>
          <w:lang w:val="sr-Latn-CS"/>
        </w:rPr>
      </w:pPr>
      <w:bookmarkStart w:id="19" w:name="_Toc318275283"/>
      <w:bookmarkStart w:id="20" w:name="_Toc318275972"/>
      <w:bookmarkStart w:id="21" w:name="_Toc318357727"/>
      <w:bookmarkStart w:id="22" w:name="_Toc319311013"/>
      <w:r>
        <w:rPr>
          <w:lang w:val="sr-Latn-CS"/>
        </w:rPr>
        <w:t>Izveštaj o monitoringu</w:t>
      </w:r>
      <w:r w:rsidRPr="00B4287C">
        <w:rPr>
          <w:lang w:val="sr-Latn-CS"/>
        </w:rPr>
        <w:t xml:space="preserve"> – </w:t>
      </w:r>
      <w:r>
        <w:rPr>
          <w:lang w:val="sr-Latn-CS"/>
        </w:rPr>
        <w:t xml:space="preserve">saglasnost audiovizuelnih medijskih servisa sa autorskim pravom SNKM </w:t>
      </w:r>
      <w:r w:rsidRPr="00B4287C">
        <w:rPr>
          <w:lang w:val="sr-Latn-CS"/>
        </w:rPr>
        <w:t>– 2009/03</w:t>
      </w:r>
      <w:bookmarkEnd w:id="19"/>
      <w:bookmarkEnd w:id="20"/>
      <w:bookmarkEnd w:id="21"/>
      <w:bookmarkEnd w:id="22"/>
    </w:p>
    <w:p w:rsidR="00E843CB" w:rsidRPr="00B4287C" w:rsidRDefault="00E843CB" w:rsidP="00F658FC">
      <w:pPr>
        <w:pStyle w:val="ListParagraph"/>
        <w:rPr>
          <w:rFonts w:cs="Times New Roman"/>
          <w:lang w:val="sr-Latn-CS"/>
        </w:rPr>
      </w:pPr>
    </w:p>
    <w:p w:rsidR="00E843CB" w:rsidRPr="00B4287C" w:rsidRDefault="00E843CB" w:rsidP="002A58E2">
      <w:pPr>
        <w:numPr>
          <w:ilvl w:val="0"/>
          <w:numId w:val="5"/>
        </w:numPr>
        <w:spacing w:line="360" w:lineRule="auto"/>
        <w:jc w:val="both"/>
        <w:outlineLvl w:val="0"/>
        <w:rPr>
          <w:lang w:val="sr-Latn-CS"/>
        </w:rPr>
      </w:pPr>
      <w:bookmarkStart w:id="23" w:name="_Toc318275284"/>
      <w:bookmarkStart w:id="24" w:name="_Toc318275973"/>
      <w:bookmarkStart w:id="25" w:name="_Toc318357728"/>
      <w:bookmarkStart w:id="26" w:name="_Toc319311014"/>
      <w:r>
        <w:rPr>
          <w:lang w:val="sr-Latn-CS"/>
        </w:rPr>
        <w:t>Izveštaj o monitoringu</w:t>
      </w:r>
      <w:r w:rsidRPr="00B4287C">
        <w:rPr>
          <w:lang w:val="sr-Latn-CS"/>
        </w:rPr>
        <w:t xml:space="preserve"> – </w:t>
      </w:r>
      <w:r>
        <w:rPr>
          <w:lang w:val="sr-Latn-CS"/>
        </w:rPr>
        <w:t>saglasnost elektronskih medija sa 3 delom licence</w:t>
      </w:r>
      <w:bookmarkEnd w:id="23"/>
      <w:bookmarkEnd w:id="24"/>
      <w:bookmarkEnd w:id="25"/>
      <w:bookmarkEnd w:id="26"/>
    </w:p>
    <w:p w:rsidR="00E843CB" w:rsidRPr="00B4287C" w:rsidRDefault="00E843CB" w:rsidP="00F658FC">
      <w:pPr>
        <w:pStyle w:val="ListParagraph"/>
        <w:rPr>
          <w:rFonts w:cs="Times New Roman"/>
          <w:lang w:val="sr-Latn-CS"/>
        </w:rPr>
      </w:pPr>
    </w:p>
    <w:p w:rsidR="00E843CB" w:rsidRPr="00B4287C" w:rsidRDefault="00E843CB" w:rsidP="002A58E2">
      <w:pPr>
        <w:numPr>
          <w:ilvl w:val="0"/>
          <w:numId w:val="5"/>
        </w:numPr>
        <w:spacing w:line="360" w:lineRule="auto"/>
        <w:jc w:val="both"/>
        <w:outlineLvl w:val="0"/>
        <w:rPr>
          <w:color w:val="000000"/>
          <w:lang w:val="sr-Latn-CS"/>
        </w:rPr>
      </w:pPr>
      <w:bookmarkStart w:id="27" w:name="_Toc318275285"/>
      <w:bookmarkStart w:id="28" w:name="_Toc318275974"/>
      <w:bookmarkStart w:id="29" w:name="_Toc318357729"/>
      <w:bookmarkStart w:id="30" w:name="_Toc319311015"/>
      <w:r w:rsidRPr="00B4287C">
        <w:rPr>
          <w:color w:val="000000"/>
          <w:lang w:val="sr-Latn-CS"/>
        </w:rPr>
        <w:t>Tabela</w:t>
      </w:r>
      <w:r>
        <w:rPr>
          <w:color w:val="000000"/>
          <w:lang w:val="sr-Latn-CS"/>
        </w:rPr>
        <w:t xml:space="preserve"> pravnih predmeta</w:t>
      </w:r>
      <w:bookmarkEnd w:id="27"/>
      <w:bookmarkEnd w:id="28"/>
      <w:bookmarkEnd w:id="29"/>
      <w:bookmarkEnd w:id="30"/>
    </w:p>
    <w:p w:rsidR="00E843CB" w:rsidRPr="00B4287C" w:rsidRDefault="00E843CB" w:rsidP="00F658FC">
      <w:pPr>
        <w:pStyle w:val="ListParagraph"/>
        <w:rPr>
          <w:rFonts w:cs="Times New Roman"/>
          <w:color w:val="000000"/>
          <w:lang w:val="sr-Latn-CS"/>
        </w:rPr>
      </w:pPr>
    </w:p>
    <w:p w:rsidR="00E843CB" w:rsidRPr="00B4287C" w:rsidRDefault="00E843CB" w:rsidP="000D56D1">
      <w:pPr>
        <w:numPr>
          <w:ilvl w:val="0"/>
          <w:numId w:val="5"/>
        </w:numPr>
        <w:spacing w:line="360" w:lineRule="auto"/>
        <w:jc w:val="both"/>
        <w:outlineLvl w:val="0"/>
        <w:rPr>
          <w:color w:val="000000"/>
          <w:lang w:val="sr-Latn-CS"/>
        </w:rPr>
      </w:pPr>
      <w:bookmarkStart w:id="31" w:name="_Toc319311016"/>
      <w:bookmarkStart w:id="32" w:name="_Toc318357730"/>
      <w:r>
        <w:rPr>
          <w:color w:val="000000"/>
          <w:lang w:val="sr-Latn-CS"/>
        </w:rPr>
        <w:t>Mape pokrića nacionalnih i lokalnih/regionalnih audiovizuelnih medijskih servisa</w:t>
      </w:r>
      <w:bookmarkEnd w:id="31"/>
      <w:r>
        <w:rPr>
          <w:color w:val="000000"/>
          <w:lang w:val="sr-Latn-CS"/>
        </w:rPr>
        <w:t xml:space="preserve"> </w:t>
      </w:r>
      <w:bookmarkEnd w:id="32"/>
    </w:p>
    <w:p w:rsidR="00E843CB" w:rsidRPr="00B4287C" w:rsidRDefault="00E843CB" w:rsidP="000D56D1">
      <w:pPr>
        <w:spacing w:line="360" w:lineRule="auto"/>
        <w:jc w:val="both"/>
        <w:outlineLvl w:val="0"/>
        <w:rPr>
          <w:color w:val="000000"/>
          <w:lang w:val="sr-Latn-CS"/>
        </w:rPr>
      </w:pPr>
    </w:p>
    <w:p w:rsidR="00E843CB" w:rsidRPr="00B4287C" w:rsidRDefault="00E843CB" w:rsidP="00034159">
      <w:pPr>
        <w:spacing w:line="360" w:lineRule="auto"/>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Default="00E843CB" w:rsidP="004B733F">
      <w:pPr>
        <w:jc w:val="both"/>
        <w:outlineLvl w:val="0"/>
        <w:rPr>
          <w:color w:val="000000"/>
          <w:lang w:val="sr-Latn-CS"/>
        </w:rPr>
      </w:pPr>
    </w:p>
    <w:p w:rsidR="00E843CB"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Pr="00B4287C" w:rsidRDefault="00E843CB" w:rsidP="004B733F">
      <w:pPr>
        <w:jc w:val="both"/>
        <w:outlineLvl w:val="0"/>
        <w:rPr>
          <w:color w:val="000000"/>
          <w:lang w:val="sr-Latn-CS"/>
        </w:rPr>
      </w:pPr>
    </w:p>
    <w:p w:rsidR="00E843CB" w:rsidRDefault="00E843CB" w:rsidP="000108FE">
      <w:pPr>
        <w:autoSpaceDE w:val="0"/>
        <w:autoSpaceDN w:val="0"/>
        <w:adjustRightInd w:val="0"/>
        <w:jc w:val="center"/>
        <w:outlineLvl w:val="0"/>
        <w:rPr>
          <w:b/>
          <w:bCs/>
          <w:lang w:val="sr-Latn-CS"/>
        </w:rPr>
      </w:pPr>
      <w:bookmarkStart w:id="33" w:name="_Toc319311017"/>
      <w:r>
        <w:rPr>
          <w:b/>
          <w:bCs/>
          <w:lang w:val="sr-Latn-CS"/>
        </w:rPr>
        <w:t>IZVRŠNI REZIME</w:t>
      </w:r>
      <w:bookmarkEnd w:id="33"/>
      <w:r>
        <w:rPr>
          <w:b/>
          <w:bCs/>
          <w:lang w:val="sr-Latn-CS"/>
        </w:rPr>
        <w:t xml:space="preserve"> </w:t>
      </w:r>
    </w:p>
    <w:p w:rsidR="00E843CB" w:rsidRPr="00B4287C" w:rsidRDefault="00E843CB" w:rsidP="000108FE">
      <w:pPr>
        <w:autoSpaceDE w:val="0"/>
        <w:autoSpaceDN w:val="0"/>
        <w:adjustRightInd w:val="0"/>
        <w:jc w:val="center"/>
        <w:outlineLvl w:val="0"/>
        <w:rPr>
          <w:lang w:val="sr-Latn-CS"/>
        </w:rPr>
      </w:pPr>
    </w:p>
    <w:p w:rsidR="00E843CB" w:rsidRPr="00B4287C" w:rsidRDefault="00E843CB" w:rsidP="0022011A">
      <w:pPr>
        <w:autoSpaceDE w:val="0"/>
        <w:autoSpaceDN w:val="0"/>
        <w:adjustRightInd w:val="0"/>
        <w:jc w:val="both"/>
        <w:rPr>
          <w:lang w:val="sr-Latn-CS"/>
        </w:rPr>
      </w:pPr>
      <w:r w:rsidRPr="00341790">
        <w:rPr>
          <w:lang w:val="sr-Latn-CS"/>
        </w:rPr>
        <w:t>Zaključujući radnu godinu, Nezavisna Komisija za Medije (NKM)</w:t>
      </w:r>
      <w:r w:rsidRPr="00B4287C">
        <w:rPr>
          <w:lang w:val="sr-Latn-CS"/>
        </w:rPr>
        <w:t>,</w:t>
      </w:r>
      <w:r>
        <w:rPr>
          <w:lang w:val="sr-Latn-CS"/>
        </w:rPr>
        <w:t xml:space="preserve"> preko kancelarije Izvršnog Šefa</w:t>
      </w:r>
      <w:r w:rsidRPr="00B4287C">
        <w:rPr>
          <w:lang w:val="sr-Latn-CS"/>
        </w:rPr>
        <w:t>,</w:t>
      </w:r>
      <w:r w:rsidRPr="00341790">
        <w:rPr>
          <w:lang w:val="sr-Latn-CS"/>
        </w:rPr>
        <w:t xml:space="preserve"> ispunjava zakonsku obavezu podnošenja izveštaja o radu 201</w:t>
      </w:r>
      <w:r>
        <w:rPr>
          <w:lang w:val="sr-Latn-CS"/>
        </w:rPr>
        <w:t>1</w:t>
      </w:r>
      <w:r w:rsidRPr="00341790">
        <w:rPr>
          <w:lang w:val="sr-Latn-CS"/>
        </w:rPr>
        <w:t>. godine Skupštini Republike Kosovo.</w:t>
      </w:r>
    </w:p>
    <w:p w:rsidR="00E843CB" w:rsidRPr="00B4287C" w:rsidRDefault="00E843CB" w:rsidP="0022011A">
      <w:pPr>
        <w:autoSpaceDE w:val="0"/>
        <w:autoSpaceDN w:val="0"/>
        <w:adjustRightInd w:val="0"/>
        <w:jc w:val="both"/>
        <w:rPr>
          <w:lang w:val="sr-Latn-CS"/>
        </w:rPr>
      </w:pPr>
    </w:p>
    <w:p w:rsidR="00E843CB" w:rsidRPr="00B4287C" w:rsidRDefault="00E843CB" w:rsidP="0022011A">
      <w:pPr>
        <w:autoSpaceDE w:val="0"/>
        <w:autoSpaceDN w:val="0"/>
        <w:adjustRightInd w:val="0"/>
        <w:jc w:val="both"/>
        <w:rPr>
          <w:lang w:val="sr-Latn-CS"/>
        </w:rPr>
      </w:pPr>
      <w:r>
        <w:rPr>
          <w:lang w:val="sr-Latn-CS"/>
        </w:rPr>
        <w:t>NKM je tokom 2011. godine</w:t>
      </w:r>
      <w:r w:rsidRPr="00B4287C">
        <w:rPr>
          <w:lang w:val="sr-Latn-CS"/>
        </w:rPr>
        <w:t>,</w:t>
      </w:r>
      <w:r>
        <w:rPr>
          <w:lang w:val="sr-Latn-CS"/>
        </w:rPr>
        <w:t xml:space="preserve"> počela sa radom sa pet (5) članova Saveta NKM manje od ukupnih sedam </w:t>
      </w:r>
      <w:r w:rsidRPr="00B4287C">
        <w:rPr>
          <w:lang w:val="sr-Latn-CS"/>
        </w:rPr>
        <w:t xml:space="preserve"> </w:t>
      </w:r>
      <w:r>
        <w:rPr>
          <w:lang w:val="sr-Latn-CS"/>
        </w:rPr>
        <w:t>(7) koliko određuje zakon. NKM se u nedostatku visokog organa, odnosno organa koji donosi odluke, suočavala sa ozbiljnim izazovima i problemima prilikom realizacije razvojnih ciljeva određenih za 2011. godinu</w:t>
      </w:r>
      <w:r w:rsidRPr="00B4287C">
        <w:rPr>
          <w:lang w:val="sr-Latn-CS"/>
        </w:rPr>
        <w:t xml:space="preserve">. </w:t>
      </w:r>
      <w:r>
        <w:rPr>
          <w:lang w:val="sr-Latn-CS"/>
        </w:rPr>
        <w:t>Zbog nepostojanja Saveta NKM tokom 2011. NKM nije mogla da donese nijednu odluku koja se povezuje sa regulativnim mandatom i u skladu sa politikama emitovanja određenim Zakonom o NKM</w:t>
      </w:r>
      <w:r w:rsidRPr="00B4287C">
        <w:rPr>
          <w:lang w:val="sr-Latn-CS"/>
        </w:rPr>
        <w:t xml:space="preserve">. </w:t>
      </w:r>
    </w:p>
    <w:p w:rsidR="00E843CB" w:rsidRPr="00B4287C" w:rsidRDefault="00E843CB" w:rsidP="0022011A">
      <w:pPr>
        <w:autoSpaceDE w:val="0"/>
        <w:autoSpaceDN w:val="0"/>
        <w:adjustRightInd w:val="0"/>
        <w:jc w:val="both"/>
        <w:rPr>
          <w:lang w:val="sr-Latn-CS"/>
        </w:rPr>
      </w:pPr>
    </w:p>
    <w:p w:rsidR="00E843CB" w:rsidRPr="00B4287C" w:rsidRDefault="00E843CB" w:rsidP="0022011A">
      <w:pPr>
        <w:autoSpaceDE w:val="0"/>
        <w:autoSpaceDN w:val="0"/>
        <w:adjustRightInd w:val="0"/>
        <w:jc w:val="both"/>
        <w:rPr>
          <w:lang w:val="sr-Latn-CS"/>
        </w:rPr>
      </w:pPr>
      <w:r>
        <w:rPr>
          <w:lang w:val="sr-Latn-CS"/>
        </w:rPr>
        <w:t xml:space="preserve">Međutim, izvršna kancelarija NKM je u skladu sa nadležnostima predviđenim zakonom nastavila saradnju sa Skupštinom i ostalim organima na izmeni i dopuni zakona o NKM i onom o RTK, kao dva od osnovnih zakona za razvoj medijskog sektora u Republici Kosovo. Doprinos NKM se fokusirao na davanje komentara zasnovanih na najbolje evropske prakse i direktive. Ova harmonizacija je neophodna i predstavlja preduslov za proces integracija u Evropsku Uniju. </w:t>
      </w:r>
    </w:p>
    <w:p w:rsidR="00E843CB" w:rsidRPr="00B4287C" w:rsidRDefault="00E843CB" w:rsidP="0022011A">
      <w:pPr>
        <w:autoSpaceDE w:val="0"/>
        <w:autoSpaceDN w:val="0"/>
        <w:adjustRightInd w:val="0"/>
        <w:jc w:val="both"/>
        <w:rPr>
          <w:lang w:val="sr-Latn-CS"/>
        </w:rPr>
      </w:pPr>
    </w:p>
    <w:p w:rsidR="00E843CB" w:rsidRPr="00B4287C" w:rsidRDefault="00E843CB" w:rsidP="0022011A">
      <w:pPr>
        <w:autoSpaceDE w:val="0"/>
        <w:autoSpaceDN w:val="0"/>
        <w:adjustRightInd w:val="0"/>
        <w:jc w:val="both"/>
        <w:rPr>
          <w:lang w:val="sr-Latn-CS"/>
        </w:rPr>
      </w:pPr>
      <w:r>
        <w:rPr>
          <w:lang w:val="sr-Latn-CS"/>
        </w:rPr>
        <w:t xml:space="preserve">U duhu saradnje osnovanih radnih grupa, jedne od strane Vlade i jedne od strane Skupštine Republike Kosovo, je postignut dogovor o izmenama i donošenju Zakona o NKM, time jačajući NKM u pogledu sprovođenja medijskih politika, u skladu sa evropskim standardima.  </w:t>
      </w:r>
    </w:p>
    <w:p w:rsidR="00E843CB" w:rsidRPr="00B4287C" w:rsidRDefault="00E843CB" w:rsidP="0022011A">
      <w:pPr>
        <w:autoSpaceDE w:val="0"/>
        <w:autoSpaceDN w:val="0"/>
        <w:adjustRightInd w:val="0"/>
        <w:jc w:val="both"/>
        <w:rPr>
          <w:lang w:val="sr-Latn-CS"/>
        </w:rPr>
      </w:pPr>
      <w:r w:rsidRPr="00B4287C">
        <w:rPr>
          <w:lang w:val="sr-Latn-CS"/>
        </w:rPr>
        <w:t xml:space="preserve"> </w:t>
      </w:r>
    </w:p>
    <w:p w:rsidR="00E843CB" w:rsidRPr="00B4287C" w:rsidRDefault="00E843CB" w:rsidP="0022011A">
      <w:pPr>
        <w:autoSpaceDE w:val="0"/>
        <w:autoSpaceDN w:val="0"/>
        <w:adjustRightInd w:val="0"/>
        <w:jc w:val="both"/>
        <w:rPr>
          <w:lang w:val="sr-Latn-CS"/>
        </w:rPr>
      </w:pPr>
      <w:r>
        <w:rPr>
          <w:lang w:val="sr-Latn-CS"/>
        </w:rPr>
        <w:t>Izvršna kancelarija NKM je, u saradnji sa medijskom industrijom i nadležnim institucijama, nastavila rad preko radnih grupa na projektu od nacionalnog značaja – strategiju za prelazak na digitalno emitovanje.</w:t>
      </w:r>
      <w:r w:rsidRPr="00B4287C">
        <w:rPr>
          <w:lang w:val="sr-Latn-CS"/>
        </w:rPr>
        <w:t xml:space="preserve"> </w:t>
      </w:r>
      <w:r>
        <w:rPr>
          <w:lang w:val="sr-Latn-CS"/>
        </w:rPr>
        <w:t>NKM je po prvi put sprovela sveobuhvatno istraživanje reklamnog tržišta, gledanosti i dosezanja medija, a ujedno su angažovani stručnjaci u svojstvu konsultanata za tehnička i pravna pitanja strategije. Bez obzira na postignuti napredak u sastavljanju nacrta, zbog nepostojanja Saveta, koji usvaja rad radnih grupa, nije urađen konačni dokument, što je uticalo na kašnjenje sa realizacijom ovog cilja. Međutim, radne grupe će nastaviti sa radom i tokom 2012. godine</w:t>
      </w:r>
      <w:r w:rsidRPr="00B4287C">
        <w:rPr>
          <w:lang w:val="sr-Latn-CS"/>
        </w:rPr>
        <w:t xml:space="preserve"> </w:t>
      </w:r>
      <w:r>
        <w:rPr>
          <w:lang w:val="sr-Latn-CS"/>
        </w:rPr>
        <w:t>u cilju podnošenja nacrta Savetu NKM za usvajanje, odmah po imenovanju članova od strane Skupštine</w:t>
      </w:r>
      <w:r w:rsidRPr="00B4287C">
        <w:rPr>
          <w:lang w:val="sr-Latn-CS"/>
        </w:rPr>
        <w:t xml:space="preserve">. </w:t>
      </w:r>
    </w:p>
    <w:p w:rsidR="00E843CB" w:rsidRPr="00B4287C" w:rsidRDefault="00E843CB" w:rsidP="0022011A">
      <w:pPr>
        <w:autoSpaceDE w:val="0"/>
        <w:autoSpaceDN w:val="0"/>
        <w:adjustRightInd w:val="0"/>
        <w:jc w:val="both"/>
        <w:rPr>
          <w:lang w:val="sr-Latn-CS"/>
        </w:rPr>
      </w:pPr>
    </w:p>
    <w:p w:rsidR="00E843CB" w:rsidRPr="003B68DE" w:rsidRDefault="00E843CB" w:rsidP="00677EFF">
      <w:pPr>
        <w:autoSpaceDE w:val="0"/>
        <w:autoSpaceDN w:val="0"/>
        <w:adjustRightInd w:val="0"/>
        <w:jc w:val="both"/>
        <w:rPr>
          <w:lang w:val="sr-Latn-CS"/>
        </w:rPr>
      </w:pPr>
      <w:r w:rsidRPr="003B68DE">
        <w:rPr>
          <w:lang w:val="sr-Latn-CS"/>
        </w:rPr>
        <w:t xml:space="preserve">Izvršna kancelarija je tokom 2011. </w:t>
      </w:r>
      <w:r>
        <w:rPr>
          <w:lang w:val="sr-Latn-CS"/>
        </w:rPr>
        <w:t>g</w:t>
      </w:r>
      <w:r w:rsidRPr="003B68DE">
        <w:rPr>
          <w:lang w:val="sr-Latn-CS"/>
        </w:rPr>
        <w:t xml:space="preserve">odine realizovala projekte monitoringa svih elektronskih medija u cilju procene saglasnosti programskog sadržaja sa opštim uslovima i pravilima licence i podzakonskim aktima NKM. Izvršna kancelarija je preduzela zakonske mere protiv svih emitera koji su izvršili prekršaj, sve u skladu sa pravnim postupcima. NKM je tokom perioda izveštavanja dobijala zahteve za slobodne frekvencije, licenciranje Provajdera programskih usluga i licenciranje reemitovanja audiovizuelnog programskog sadržaja preko IPTV sistema (preko interneta). Svi pravni slučajevi, kao i zahtevi u vezi sa promenom uslova licence ili zahtevi za  izdavanje novih licenci, su procesirani od strane kancelarije i biće predstavljeni organu koji donosi odluke, odnosno Savetu NKM. </w:t>
      </w:r>
    </w:p>
    <w:p w:rsidR="00E843CB" w:rsidRPr="003B68DE" w:rsidRDefault="00E843CB" w:rsidP="00677EFF">
      <w:pPr>
        <w:autoSpaceDE w:val="0"/>
        <w:autoSpaceDN w:val="0"/>
        <w:adjustRightInd w:val="0"/>
        <w:jc w:val="both"/>
        <w:rPr>
          <w:lang w:val="sr-Latn-CS"/>
        </w:rPr>
      </w:pPr>
    </w:p>
    <w:p w:rsidR="00E843CB" w:rsidRPr="003B68DE" w:rsidRDefault="00E843CB" w:rsidP="00677EFF">
      <w:pPr>
        <w:autoSpaceDE w:val="0"/>
        <w:autoSpaceDN w:val="0"/>
        <w:adjustRightInd w:val="0"/>
        <w:jc w:val="both"/>
        <w:rPr>
          <w:lang w:val="sr-Latn-CS"/>
        </w:rPr>
      </w:pPr>
      <w:r w:rsidRPr="003B68DE">
        <w:rPr>
          <w:lang w:val="sr-Latn-CS"/>
        </w:rPr>
        <w:t xml:space="preserve">U Izvršnoj kancelariji radi 31 civilni službenik. NKM se tokom 2011. godine  suočila sa poteškoćama do kojih je došlo zbog udaljenja civilnih službenika NKM, zbog povećanja plate od 30%, kao što određuje odluka Vlade Republike Kosovo o civilnim službenicima. Nakon brojnih sastanaka i prepiske sa ministarstvima odgovornim za sprovođenje ove odluke, Izvršna kancelarija je uspela da se tek decembra 2011. godine ubaci u šemu za povećanje plata od 30%. </w:t>
      </w:r>
    </w:p>
    <w:p w:rsidR="00E843CB" w:rsidRPr="003B68DE" w:rsidRDefault="00E843CB" w:rsidP="00677EFF">
      <w:pPr>
        <w:autoSpaceDE w:val="0"/>
        <w:autoSpaceDN w:val="0"/>
        <w:adjustRightInd w:val="0"/>
        <w:jc w:val="both"/>
        <w:rPr>
          <w:lang w:val="sr-Latn-CS"/>
        </w:rPr>
      </w:pPr>
    </w:p>
    <w:p w:rsidR="00E843CB" w:rsidRPr="003B68DE" w:rsidRDefault="00E843CB" w:rsidP="00677EFF">
      <w:pPr>
        <w:autoSpaceDE w:val="0"/>
        <w:autoSpaceDN w:val="0"/>
        <w:adjustRightInd w:val="0"/>
        <w:jc w:val="both"/>
        <w:rPr>
          <w:lang w:val="sr-Latn-CS"/>
        </w:rPr>
      </w:pPr>
      <w:r w:rsidRPr="003B68DE">
        <w:rPr>
          <w:lang w:val="sr-Latn-CS"/>
        </w:rPr>
        <w:t xml:space="preserve">Ovaj izveštaj o radu NKM zaključujemo uz nadu da će, na putu ka realizaciji naše zakonom određene misije, na kojem se često suočavamo sa problemima i poteškoćama, Skupština Republike Kosovo nastaviti da pruža svoju podršku. Takođe se nadamo da će se NKM ubrzo omogućiti funkcionisanje na nivou donošenja odluka imenujući članove Komisije. </w:t>
      </w:r>
    </w:p>
    <w:p w:rsidR="00E843CB" w:rsidRPr="003B68DE" w:rsidRDefault="00E843CB" w:rsidP="00677EFF">
      <w:pPr>
        <w:autoSpaceDE w:val="0"/>
        <w:autoSpaceDN w:val="0"/>
        <w:adjustRightInd w:val="0"/>
        <w:jc w:val="both"/>
        <w:rPr>
          <w:lang w:val="sr-Latn-CS"/>
        </w:rPr>
      </w:pPr>
    </w:p>
    <w:p w:rsidR="00E843CB" w:rsidRPr="003B68DE" w:rsidRDefault="00E843CB" w:rsidP="00677EFF">
      <w:pPr>
        <w:autoSpaceDE w:val="0"/>
        <w:autoSpaceDN w:val="0"/>
        <w:adjustRightInd w:val="0"/>
        <w:jc w:val="both"/>
        <w:rPr>
          <w:color w:val="FF0000"/>
          <w:highlight w:val="yellow"/>
          <w:lang w:val="sr-Latn-CS"/>
        </w:rPr>
      </w:pPr>
      <w:r w:rsidRPr="003B68DE">
        <w:rPr>
          <w:lang w:val="sr-Latn-CS"/>
        </w:rPr>
        <w:t xml:space="preserve">Uloga i misija naše institucije je da stvori sredinu za podizanje nivoa slobode izražavanja, razvoj slobodnog medijskog tržišta, medijsku raznovrsnost i profesionalno usavršavanje, uvek u službi svih građana Republike Kosovo. Prema tome, uloga Skupštine je veoma značajna za uspešnu realizaciju naše misije. </w:t>
      </w:r>
    </w:p>
    <w:p w:rsidR="00E843CB" w:rsidRPr="003B68DE" w:rsidRDefault="00E843CB" w:rsidP="00677EFF">
      <w:pPr>
        <w:autoSpaceDE w:val="0"/>
        <w:autoSpaceDN w:val="0"/>
        <w:adjustRightInd w:val="0"/>
        <w:jc w:val="both"/>
        <w:rPr>
          <w:lang w:val="sr-Latn-CS"/>
        </w:rPr>
      </w:pPr>
    </w:p>
    <w:p w:rsidR="00E843CB" w:rsidRPr="003B68DE" w:rsidRDefault="00E843CB" w:rsidP="00677EFF">
      <w:pPr>
        <w:rPr>
          <w:lang w:val="sr-Latn-CS"/>
        </w:rPr>
      </w:pPr>
    </w:p>
    <w:p w:rsidR="00E843CB" w:rsidRPr="003B68DE" w:rsidRDefault="00E843CB" w:rsidP="00677EFF">
      <w:pPr>
        <w:rPr>
          <w:lang w:val="sr-Latn-CS"/>
        </w:rPr>
      </w:pPr>
      <w:r w:rsidRPr="003B68DE">
        <w:rPr>
          <w:lang w:val="sr-Latn-CS"/>
        </w:rPr>
        <w:t>Iskreno,</w:t>
      </w:r>
    </w:p>
    <w:p w:rsidR="00E843CB" w:rsidRPr="003B68DE" w:rsidRDefault="00E843CB" w:rsidP="00677EFF">
      <w:pPr>
        <w:rPr>
          <w:lang w:val="sr-Latn-CS"/>
        </w:rPr>
      </w:pPr>
    </w:p>
    <w:p w:rsidR="00E843CB" w:rsidRPr="003B68DE" w:rsidRDefault="00E843CB" w:rsidP="00677EFF">
      <w:pPr>
        <w:rPr>
          <w:lang w:val="sr-Latn-CS"/>
        </w:rPr>
      </w:pPr>
      <w:r w:rsidRPr="003B68DE">
        <w:rPr>
          <w:lang w:val="sr-Latn-CS"/>
        </w:rPr>
        <w:t>Naile Selimaj Krasniqi</w:t>
      </w:r>
    </w:p>
    <w:p w:rsidR="00E843CB" w:rsidRPr="003B68DE" w:rsidRDefault="00E843CB" w:rsidP="00677EFF">
      <w:pPr>
        <w:rPr>
          <w:lang w:val="sr-Latn-CS"/>
        </w:rPr>
      </w:pPr>
      <w:r w:rsidRPr="003B68DE">
        <w:rPr>
          <w:lang w:val="sr-Latn-CS"/>
        </w:rPr>
        <w:t>Izvršni Šef</w:t>
      </w:r>
    </w:p>
    <w:p w:rsidR="00E843CB" w:rsidRPr="00B4287C" w:rsidRDefault="00E843CB" w:rsidP="00677EFF">
      <w:pPr>
        <w:rPr>
          <w:lang w:val="sr-Latn-CS"/>
        </w:rPr>
      </w:pPr>
      <w:r w:rsidRPr="003B68DE">
        <w:rPr>
          <w:lang w:val="sr-Latn-CS"/>
        </w:rPr>
        <w:t>Nezavisna Komisija za Medije</w:t>
      </w: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r w:rsidRPr="00B4287C">
        <w:rPr>
          <w:lang w:val="sr-Latn-CS"/>
        </w:rPr>
        <w:t xml:space="preserve">  </w:t>
      </w:r>
    </w:p>
    <w:p w:rsidR="00E843CB" w:rsidRPr="00B4287C" w:rsidRDefault="00E843CB" w:rsidP="002D6C58">
      <w:pPr>
        <w:autoSpaceDE w:val="0"/>
        <w:autoSpaceDN w:val="0"/>
        <w:adjustRightInd w:val="0"/>
        <w:jc w:val="both"/>
        <w:rPr>
          <w:lang w:val="sr-Latn-CS"/>
        </w:rPr>
      </w:pPr>
    </w:p>
    <w:p w:rsidR="00E843CB" w:rsidRPr="00B4287C" w:rsidRDefault="00E843CB" w:rsidP="002D6C58">
      <w:pPr>
        <w:autoSpaceDE w:val="0"/>
        <w:autoSpaceDN w:val="0"/>
        <w:adjustRightInd w:val="0"/>
        <w:jc w:val="both"/>
        <w:rPr>
          <w:lang w:val="sr-Latn-CS"/>
        </w:rPr>
      </w:pPr>
    </w:p>
    <w:p w:rsidR="00E843CB" w:rsidRPr="00B4287C" w:rsidRDefault="00E843CB" w:rsidP="000D56D1">
      <w:pPr>
        <w:autoSpaceDE w:val="0"/>
        <w:autoSpaceDN w:val="0"/>
        <w:adjustRightInd w:val="0"/>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Default="00E843CB" w:rsidP="006740F1">
      <w:pPr>
        <w:autoSpaceDE w:val="0"/>
        <w:autoSpaceDN w:val="0"/>
        <w:adjustRightInd w:val="0"/>
        <w:jc w:val="right"/>
        <w:rPr>
          <w:highlight w:val="cyan"/>
          <w:lang w:val="sr-Latn-CS"/>
        </w:rPr>
      </w:pPr>
    </w:p>
    <w:p w:rsidR="00E843CB" w:rsidRDefault="00E843CB" w:rsidP="006740F1">
      <w:pPr>
        <w:autoSpaceDE w:val="0"/>
        <w:autoSpaceDN w:val="0"/>
        <w:adjustRightInd w:val="0"/>
        <w:jc w:val="right"/>
        <w:rPr>
          <w:highlight w:val="cyan"/>
          <w:lang w:val="sr-Latn-CS"/>
        </w:rPr>
      </w:pPr>
    </w:p>
    <w:p w:rsidR="00E843CB" w:rsidRDefault="00E843CB" w:rsidP="006740F1">
      <w:pPr>
        <w:autoSpaceDE w:val="0"/>
        <w:autoSpaceDN w:val="0"/>
        <w:adjustRightInd w:val="0"/>
        <w:jc w:val="right"/>
        <w:rPr>
          <w:highlight w:val="cyan"/>
          <w:lang w:val="sr-Latn-CS"/>
        </w:rPr>
      </w:pPr>
    </w:p>
    <w:p w:rsidR="00E843CB" w:rsidRDefault="00E843CB" w:rsidP="006740F1">
      <w:pPr>
        <w:autoSpaceDE w:val="0"/>
        <w:autoSpaceDN w:val="0"/>
        <w:adjustRightInd w:val="0"/>
        <w:jc w:val="right"/>
        <w:rPr>
          <w:highlight w:val="cyan"/>
          <w:lang w:val="sr-Latn-CS"/>
        </w:rPr>
      </w:pPr>
    </w:p>
    <w:p w:rsidR="00E843CB" w:rsidRDefault="00E843CB" w:rsidP="006740F1">
      <w:pPr>
        <w:autoSpaceDE w:val="0"/>
        <w:autoSpaceDN w:val="0"/>
        <w:adjustRightInd w:val="0"/>
        <w:jc w:val="right"/>
        <w:rPr>
          <w:highlight w:val="cyan"/>
          <w:lang w:val="sr-Latn-CS"/>
        </w:rPr>
      </w:pPr>
    </w:p>
    <w:p w:rsidR="00E843CB"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B4287C" w:rsidRDefault="00E843CB" w:rsidP="006740F1">
      <w:pPr>
        <w:autoSpaceDE w:val="0"/>
        <w:autoSpaceDN w:val="0"/>
        <w:adjustRightInd w:val="0"/>
        <w:jc w:val="right"/>
        <w:rPr>
          <w:highlight w:val="cyan"/>
          <w:lang w:val="sr-Latn-CS"/>
        </w:rPr>
      </w:pPr>
    </w:p>
    <w:p w:rsidR="00E843CB" w:rsidRPr="006C44E4" w:rsidRDefault="00E843CB" w:rsidP="006C44E4">
      <w:pPr>
        <w:jc w:val="center"/>
        <w:rPr>
          <w:b/>
          <w:bCs/>
          <w:lang w:val="sr-Latn-CS"/>
        </w:rPr>
      </w:pPr>
      <w:r w:rsidRPr="006C44E4">
        <w:rPr>
          <w:b/>
          <w:bCs/>
          <w:lang w:val="sr-Latn-CS"/>
        </w:rPr>
        <w:t>PRAVNA BAZA</w:t>
      </w:r>
    </w:p>
    <w:p w:rsidR="00E843CB" w:rsidRDefault="00E843CB" w:rsidP="00C236CE">
      <w:pPr>
        <w:jc w:val="both"/>
        <w:rPr>
          <w:lang w:val="sr-Latn-CS"/>
        </w:rPr>
      </w:pPr>
    </w:p>
    <w:p w:rsidR="00E843CB" w:rsidRPr="00341790" w:rsidRDefault="00E843CB" w:rsidP="00C236CE">
      <w:pPr>
        <w:jc w:val="both"/>
        <w:rPr>
          <w:color w:val="000000"/>
          <w:lang w:val="sr-Latn-CS"/>
        </w:rPr>
      </w:pPr>
      <w:r w:rsidRPr="00341790">
        <w:rPr>
          <w:color w:val="000000"/>
          <w:lang w:val="sr-Latn-CS"/>
        </w:rPr>
        <w:t>Skupština Kosova je 21. aprila 2005. godine usvojila Zakon br. 02/L-15 o Nezavisnoj komisiji za medije i radio-difuziju, koji je stupio na snagu 8. septembra 2005. godine.</w:t>
      </w:r>
    </w:p>
    <w:p w:rsidR="00E843CB" w:rsidRPr="00341790" w:rsidRDefault="00E843CB" w:rsidP="00C236CE">
      <w:pPr>
        <w:jc w:val="both"/>
        <w:rPr>
          <w:color w:val="000000"/>
          <w:lang w:val="sr-Latn-CS"/>
        </w:rPr>
      </w:pPr>
    </w:p>
    <w:p w:rsidR="00E843CB" w:rsidRPr="00341790" w:rsidRDefault="00E843CB" w:rsidP="00C236CE">
      <w:pPr>
        <w:jc w:val="both"/>
        <w:rPr>
          <w:color w:val="000000"/>
          <w:lang w:val="sr-Latn-CS"/>
        </w:rPr>
      </w:pPr>
      <w:r w:rsidRPr="00341790">
        <w:rPr>
          <w:color w:val="000000"/>
          <w:lang w:val="sr-Latn-CS"/>
        </w:rPr>
        <w:t xml:space="preserve">Nezavisna komisija za medije je ustavni organ, što je i određeno čl. 141 Ustava Republike Kosovo. </w:t>
      </w:r>
    </w:p>
    <w:p w:rsidR="00E843CB" w:rsidRPr="00341790" w:rsidRDefault="00E843CB" w:rsidP="00C236CE">
      <w:pPr>
        <w:jc w:val="both"/>
        <w:rPr>
          <w:color w:val="000000"/>
          <w:lang w:val="sr-Latn-CS"/>
        </w:rPr>
      </w:pPr>
    </w:p>
    <w:p w:rsidR="00E843CB" w:rsidRPr="00B4287C" w:rsidRDefault="00E843CB" w:rsidP="00C236CE">
      <w:pPr>
        <w:jc w:val="both"/>
        <w:rPr>
          <w:color w:val="000000"/>
          <w:lang w:val="sr-Latn-CS"/>
        </w:rPr>
      </w:pPr>
      <w:r w:rsidRPr="00341790">
        <w:rPr>
          <w:color w:val="000000"/>
          <w:lang w:val="sr-Latn-CS"/>
        </w:rPr>
        <w:t>Na osnovu čl. 3.8. Zakona o NKM, Savet NKM priprema i podnosi izveštaj Skupštini Kosova, u roku od dva meseca od kraja svake kalendarske godine, uključujući podatke koji se tiču određivanja i sprovođenja politike za radio-difuziju, izdavanje</w:t>
      </w:r>
      <w:r>
        <w:rPr>
          <w:color w:val="000000"/>
          <w:lang w:val="sr-Latn-CS"/>
        </w:rPr>
        <w:t xml:space="preserve"> licenci, procesiranje žalbi i sprovođenje sankcionih mera, uključujući izvršenje odluka u vezi istih, finansijske aktivnosti, ostale aktivnosti koje se tiču regulisanja emitovanja i određivanja ciljeva za narednu godinu</w:t>
      </w:r>
      <w:r w:rsidRPr="00B4287C">
        <w:rPr>
          <w:color w:val="000000"/>
          <w:lang w:val="sr-Latn-CS"/>
        </w:rPr>
        <w:t xml:space="preserve">. </w:t>
      </w:r>
    </w:p>
    <w:p w:rsidR="00E843CB" w:rsidRPr="00B4287C" w:rsidRDefault="00E843CB" w:rsidP="006740F1">
      <w:pPr>
        <w:jc w:val="both"/>
        <w:rPr>
          <w:b/>
          <w:bCs/>
          <w:color w:val="000000"/>
          <w:lang w:val="sr-Latn-CS"/>
        </w:rPr>
      </w:pPr>
    </w:p>
    <w:p w:rsidR="00E843CB" w:rsidRPr="00B4287C" w:rsidRDefault="00E843CB" w:rsidP="00947121">
      <w:pPr>
        <w:jc w:val="center"/>
        <w:outlineLvl w:val="0"/>
        <w:rPr>
          <w:b/>
          <w:bCs/>
          <w:color w:val="000000"/>
          <w:lang w:val="sr-Latn-CS"/>
        </w:rPr>
      </w:pPr>
      <w:bookmarkStart w:id="34" w:name="_Toc319311018"/>
      <w:r>
        <w:rPr>
          <w:b/>
          <w:bCs/>
          <w:color w:val="000000"/>
          <w:lang w:val="sr-Latn-CS"/>
        </w:rPr>
        <w:t>STRUKTURA IZVEŠTAJA</w:t>
      </w:r>
      <w:bookmarkEnd w:id="34"/>
      <w:r>
        <w:rPr>
          <w:b/>
          <w:bCs/>
          <w:color w:val="000000"/>
          <w:lang w:val="sr-Latn-CS"/>
        </w:rPr>
        <w:t xml:space="preserve"> </w:t>
      </w: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r>
        <w:rPr>
          <w:color w:val="000000"/>
          <w:lang w:val="sr-Latn-CS"/>
        </w:rPr>
        <w:t>Izveštaj o radu Nezavisne komisije za medije tokom 2011. godine</w:t>
      </w:r>
      <w:r w:rsidRPr="00B4287C">
        <w:rPr>
          <w:color w:val="000000"/>
          <w:lang w:val="sr-Latn-CS"/>
        </w:rPr>
        <w:t xml:space="preserve"> </w:t>
      </w:r>
      <w:r>
        <w:rPr>
          <w:color w:val="000000"/>
          <w:lang w:val="sr-Latn-CS"/>
        </w:rPr>
        <w:t xml:space="preserve"> opisuje stanje u kojem je NKM obavljala svoju delatnost tokom </w:t>
      </w:r>
      <w:r w:rsidRPr="00B4287C">
        <w:rPr>
          <w:color w:val="000000"/>
          <w:lang w:val="sr-Latn-CS"/>
        </w:rPr>
        <w:t>2011</w:t>
      </w:r>
      <w:r>
        <w:rPr>
          <w:color w:val="000000"/>
          <w:lang w:val="sr-Latn-CS"/>
        </w:rPr>
        <w:t>.</w:t>
      </w:r>
      <w:r w:rsidRPr="00B4287C">
        <w:rPr>
          <w:color w:val="000000"/>
          <w:lang w:val="sr-Latn-CS"/>
        </w:rPr>
        <w:t xml:space="preserve"> </w:t>
      </w:r>
      <w:r>
        <w:rPr>
          <w:color w:val="000000"/>
          <w:lang w:val="sr-Latn-CS"/>
        </w:rPr>
        <w:t>bez funkcionisanja visokog organa, odnosno Saveta NKM koji donosi odluke, kao i rad Izvršne kancelarije u pogledu realizacije ciljeva određenih za 2011. godinu</w:t>
      </w:r>
      <w:r w:rsidRPr="00B4287C">
        <w:rPr>
          <w:color w:val="000000"/>
          <w:lang w:val="sr-Latn-CS"/>
        </w:rPr>
        <w:t xml:space="preserve">.  </w:t>
      </w:r>
    </w:p>
    <w:p w:rsidR="00E843CB" w:rsidRPr="00B4287C" w:rsidRDefault="00E843CB" w:rsidP="006740F1">
      <w:pPr>
        <w:jc w:val="both"/>
        <w:rPr>
          <w:color w:val="000000"/>
          <w:lang w:val="sr-Latn-CS"/>
        </w:rPr>
      </w:pPr>
    </w:p>
    <w:p w:rsidR="00E843CB" w:rsidRPr="00B4287C" w:rsidRDefault="00E843CB" w:rsidP="006740F1">
      <w:pPr>
        <w:jc w:val="both"/>
        <w:rPr>
          <w:i/>
          <w:iCs/>
          <w:color w:val="000000"/>
          <w:lang w:val="sr-Latn-CS"/>
        </w:rPr>
      </w:pPr>
      <w:r>
        <w:rPr>
          <w:i/>
          <w:iCs/>
          <w:color w:val="000000"/>
          <w:lang w:val="sr-Latn-CS"/>
        </w:rPr>
        <w:t xml:space="preserve">Izveštaj nije usvojio Savet NKM zbog nepostojanja kvoruma. </w:t>
      </w: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Default="00E843CB" w:rsidP="006740F1">
      <w:pPr>
        <w:jc w:val="both"/>
        <w:outlineLvl w:val="0"/>
        <w:rPr>
          <w:b/>
          <w:bCs/>
          <w:color w:val="000000"/>
          <w:lang w:val="sr-Latn-CS"/>
        </w:rPr>
      </w:pPr>
    </w:p>
    <w:p w:rsidR="00E843CB"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6740F1">
      <w:pPr>
        <w:jc w:val="both"/>
        <w:outlineLvl w:val="0"/>
        <w:rPr>
          <w:b/>
          <w:bCs/>
          <w:color w:val="000000"/>
          <w:lang w:val="sr-Latn-CS"/>
        </w:rPr>
      </w:pPr>
    </w:p>
    <w:p w:rsidR="00E843CB" w:rsidRPr="00B4287C" w:rsidRDefault="00E843CB" w:rsidP="00947121">
      <w:pPr>
        <w:pStyle w:val="Default"/>
        <w:pBdr>
          <w:bottom w:val="single" w:sz="12" w:space="1" w:color="auto"/>
        </w:pBdr>
        <w:jc w:val="both"/>
        <w:outlineLvl w:val="0"/>
        <w:rPr>
          <w:lang w:val="sr-Latn-CS"/>
        </w:rPr>
      </w:pPr>
      <w:bookmarkStart w:id="35" w:name="_Toc319311019"/>
      <w:r>
        <w:rPr>
          <w:b/>
          <w:bCs/>
          <w:lang w:val="sr-Latn-CS"/>
        </w:rPr>
        <w:t xml:space="preserve">DEO </w:t>
      </w:r>
      <w:r w:rsidRPr="00B4287C">
        <w:rPr>
          <w:b/>
          <w:bCs/>
          <w:lang w:val="sr-Latn-CS"/>
        </w:rPr>
        <w:t>I</w:t>
      </w:r>
      <w:bookmarkStart w:id="36" w:name="OLE_LINK4"/>
      <w:bookmarkEnd w:id="35"/>
    </w:p>
    <w:p w:rsidR="00E843CB" w:rsidRPr="00B4287C" w:rsidRDefault="00E843CB" w:rsidP="00947121">
      <w:pPr>
        <w:spacing w:before="100" w:beforeAutospacing="1" w:after="100" w:afterAutospacing="1"/>
        <w:jc w:val="center"/>
        <w:outlineLvl w:val="1"/>
        <w:rPr>
          <w:b/>
          <w:bCs/>
          <w:lang w:val="sr-Latn-CS"/>
        </w:rPr>
      </w:pPr>
      <w:bookmarkStart w:id="37" w:name="_Toc319311020"/>
      <w:r w:rsidRPr="00B4287C">
        <w:rPr>
          <w:b/>
          <w:bCs/>
          <w:lang w:val="sr-Latn-CS"/>
        </w:rPr>
        <w:t>REALIZ</w:t>
      </w:r>
      <w:r>
        <w:rPr>
          <w:b/>
          <w:bCs/>
          <w:lang w:val="sr-Latn-CS"/>
        </w:rPr>
        <w:t>ACIJA CILJEVA NKM ZA 2011. GODINU</w:t>
      </w:r>
      <w:bookmarkEnd w:id="37"/>
      <w:r w:rsidRPr="00B4287C">
        <w:rPr>
          <w:b/>
          <w:bCs/>
          <w:lang w:val="sr-Latn-CS"/>
        </w:rPr>
        <w:t xml:space="preserve"> </w:t>
      </w:r>
    </w:p>
    <w:p w:rsidR="00E843CB" w:rsidRPr="00B4287C" w:rsidRDefault="00E843CB" w:rsidP="009364A2">
      <w:pPr>
        <w:jc w:val="both"/>
        <w:rPr>
          <w:color w:val="000000"/>
          <w:lang w:val="sr-Latn-CS"/>
        </w:rPr>
      </w:pPr>
      <w:r>
        <w:rPr>
          <w:color w:val="000000"/>
          <w:lang w:val="sr-Latn-CS"/>
        </w:rPr>
        <w:t>Za 2011. godinu su planirani sledeći ciljevi</w:t>
      </w:r>
      <w:r w:rsidRPr="00B4287C">
        <w:rPr>
          <w:rStyle w:val="FootnoteReference"/>
          <w:color w:val="000000"/>
          <w:lang w:val="sr-Latn-CS"/>
        </w:rPr>
        <w:footnoteReference w:id="1"/>
      </w:r>
      <w:r w:rsidRPr="00B4287C">
        <w:rPr>
          <w:color w:val="000000"/>
          <w:lang w:val="sr-Latn-CS"/>
        </w:rPr>
        <w:t>:</w:t>
      </w:r>
      <w:r w:rsidRPr="00B4287C" w:rsidDel="00910757">
        <w:rPr>
          <w:color w:val="000000"/>
          <w:lang w:val="sr-Latn-CS"/>
        </w:rPr>
        <w:t xml:space="preserve"> </w:t>
      </w:r>
    </w:p>
    <w:p w:rsidR="00E843CB" w:rsidRPr="00B4287C" w:rsidRDefault="00E843CB" w:rsidP="009364A2">
      <w:pPr>
        <w:jc w:val="both"/>
        <w:rPr>
          <w:color w:val="000000"/>
          <w:lang w:val="sr-Latn-CS"/>
        </w:rPr>
      </w:pPr>
    </w:p>
    <w:p w:rsidR="00E843CB" w:rsidRPr="00B4287C" w:rsidRDefault="00E843CB" w:rsidP="007C636E">
      <w:pPr>
        <w:spacing w:line="360" w:lineRule="auto"/>
        <w:ind w:firstLine="720"/>
        <w:jc w:val="both"/>
        <w:rPr>
          <w:color w:val="000000"/>
          <w:lang w:val="sr-Latn-CS"/>
        </w:rPr>
      </w:pPr>
      <w:r w:rsidRPr="00B4287C">
        <w:rPr>
          <w:color w:val="000000"/>
          <w:lang w:val="sr-Latn-CS"/>
        </w:rPr>
        <w:t xml:space="preserve">1. </w:t>
      </w:r>
      <w:r>
        <w:rPr>
          <w:color w:val="000000"/>
          <w:lang w:val="sr-Latn-CS"/>
        </w:rPr>
        <w:t>Određivanje politike za prelazak na digitalno emitovanje elektronskih medija na Kosovu</w:t>
      </w:r>
      <w:r w:rsidRPr="00B4287C">
        <w:rPr>
          <w:color w:val="000000"/>
          <w:lang w:val="sr-Latn-CS"/>
        </w:rPr>
        <w:t>;</w:t>
      </w:r>
    </w:p>
    <w:p w:rsidR="00E843CB" w:rsidRPr="00B4287C" w:rsidRDefault="00E843CB" w:rsidP="007C636E">
      <w:pPr>
        <w:spacing w:line="360" w:lineRule="auto"/>
        <w:ind w:firstLine="720"/>
        <w:jc w:val="both"/>
        <w:rPr>
          <w:color w:val="000000"/>
          <w:lang w:val="sr-Latn-CS"/>
        </w:rPr>
      </w:pPr>
      <w:r w:rsidRPr="00B4287C">
        <w:rPr>
          <w:color w:val="000000"/>
          <w:lang w:val="sr-Latn-CS"/>
        </w:rPr>
        <w:t xml:space="preserve">2. </w:t>
      </w:r>
      <w:r>
        <w:rPr>
          <w:color w:val="000000"/>
          <w:lang w:val="sr-Latn-CS"/>
        </w:rPr>
        <w:t>Razvoj medijskog tržišta koje će služiti svim građanima Kosova; i</w:t>
      </w:r>
    </w:p>
    <w:p w:rsidR="00E843CB" w:rsidRPr="00B4287C" w:rsidRDefault="00E843CB" w:rsidP="007C636E">
      <w:pPr>
        <w:spacing w:line="360" w:lineRule="auto"/>
        <w:ind w:firstLine="720"/>
        <w:jc w:val="both"/>
        <w:rPr>
          <w:color w:val="000000"/>
          <w:lang w:val="sr-Latn-CS"/>
        </w:rPr>
      </w:pPr>
      <w:r w:rsidRPr="00B4287C">
        <w:rPr>
          <w:color w:val="000000"/>
          <w:lang w:val="sr-Latn-CS"/>
        </w:rPr>
        <w:t xml:space="preserve">3. </w:t>
      </w:r>
      <w:r>
        <w:rPr>
          <w:color w:val="000000"/>
          <w:lang w:val="sr-Latn-CS"/>
        </w:rPr>
        <w:t>Razvoj politika emitovanja u skladu sa međunarodno priznatim standardima</w:t>
      </w:r>
      <w:r w:rsidRPr="00B4287C">
        <w:rPr>
          <w:color w:val="000000"/>
          <w:lang w:val="sr-Latn-CS"/>
        </w:rPr>
        <w:t>.</w:t>
      </w:r>
    </w:p>
    <w:p w:rsidR="00E843CB" w:rsidRPr="00B4287C" w:rsidRDefault="00E843CB" w:rsidP="00947121">
      <w:pPr>
        <w:numPr>
          <w:ilvl w:val="0"/>
          <w:numId w:val="8"/>
        </w:numPr>
        <w:spacing w:before="100" w:beforeAutospacing="1" w:after="100" w:afterAutospacing="1"/>
        <w:jc w:val="both"/>
        <w:outlineLvl w:val="2"/>
        <w:rPr>
          <w:b/>
          <w:bCs/>
          <w:i/>
          <w:iCs/>
          <w:lang w:val="sr-Latn-CS"/>
        </w:rPr>
      </w:pPr>
      <w:bookmarkStart w:id="38" w:name="_Toc319311021"/>
      <w:r>
        <w:rPr>
          <w:b/>
          <w:bCs/>
          <w:i/>
          <w:iCs/>
          <w:lang w:val="sr-Latn-CS"/>
        </w:rPr>
        <w:t>Određivanje politike za prelazak na digitalno emitovanje elektronskih medija na Kosovu</w:t>
      </w:r>
      <w:bookmarkEnd w:id="38"/>
      <w:r w:rsidRPr="00B4287C">
        <w:rPr>
          <w:b/>
          <w:bCs/>
          <w:i/>
          <w:iCs/>
          <w:lang w:val="sr-Latn-CS"/>
        </w:rPr>
        <w:t xml:space="preserve"> </w:t>
      </w:r>
    </w:p>
    <w:p w:rsidR="00E843CB" w:rsidRPr="00B4287C" w:rsidRDefault="00E843CB" w:rsidP="008E61E9">
      <w:pPr>
        <w:spacing w:before="100" w:beforeAutospacing="1" w:after="100" w:afterAutospacing="1"/>
        <w:jc w:val="both"/>
        <w:rPr>
          <w:lang w:val="sr-Latn-CS"/>
        </w:rPr>
      </w:pPr>
      <w:r>
        <w:rPr>
          <w:lang w:val="sr-Latn-CS"/>
        </w:rPr>
        <w:t>NKM je 2010. godine</w:t>
      </w:r>
      <w:r w:rsidRPr="00B4287C">
        <w:rPr>
          <w:lang w:val="sr-Latn-CS"/>
        </w:rPr>
        <w:t xml:space="preserve"> </w:t>
      </w:r>
      <w:r>
        <w:rPr>
          <w:lang w:val="sr-Latn-CS"/>
        </w:rPr>
        <w:t xml:space="preserve">počeo sa izradom strategije za prelazak na digitalno emitovanje preko radnih grupa za programski sadržaj, pravna, tehnička i društveno-ekonomska pitanja, kao i informisanje i podizanje svesti. </w:t>
      </w:r>
    </w:p>
    <w:p w:rsidR="00E843CB" w:rsidRPr="00B4287C" w:rsidRDefault="00E843CB" w:rsidP="004E7697">
      <w:pPr>
        <w:spacing w:before="100" w:beforeAutospacing="1" w:after="100" w:afterAutospacing="1"/>
        <w:jc w:val="both"/>
        <w:rPr>
          <w:lang w:val="sr-Latn-CS"/>
        </w:rPr>
      </w:pPr>
      <w:r>
        <w:rPr>
          <w:lang w:val="sr-Latn-CS"/>
        </w:rPr>
        <w:t>Radna grupa je nastavila sa radom i 2011. godine</w:t>
      </w:r>
      <w:r w:rsidRPr="00B4287C">
        <w:rPr>
          <w:lang w:val="sr-Latn-CS"/>
        </w:rPr>
        <w:t xml:space="preserve"> </w:t>
      </w:r>
      <w:r>
        <w:rPr>
          <w:lang w:val="sr-Latn-CS"/>
        </w:rPr>
        <w:t>u cilju završavanja strategije i usvajanja iste od strane Saveta.  Nezavisna komisija za medije je radi razmatranja nacrta sastavljanje kojih je počelo 2011. godine</w:t>
      </w:r>
      <w:r w:rsidRPr="00B4287C">
        <w:rPr>
          <w:lang w:val="sr-Latn-CS"/>
        </w:rPr>
        <w:t xml:space="preserve"> </w:t>
      </w:r>
      <w:r>
        <w:rPr>
          <w:lang w:val="sr-Latn-CS"/>
        </w:rPr>
        <w:t xml:space="preserve">i obezbeđivanja zasnivanja istih na najbolje evropske praske i standarde koji se primenjuju u Republici Kosovo, angažovala međunarodne konsultante. </w:t>
      </w:r>
    </w:p>
    <w:p w:rsidR="00E843CB" w:rsidRPr="00B4287C" w:rsidRDefault="00E843CB" w:rsidP="004E7697">
      <w:pPr>
        <w:spacing w:before="100" w:beforeAutospacing="1" w:after="100" w:afterAutospacing="1"/>
        <w:jc w:val="both"/>
        <w:rPr>
          <w:b/>
          <w:bCs/>
          <w:lang w:val="sr-Latn-CS"/>
        </w:rPr>
      </w:pPr>
      <w:r>
        <w:rPr>
          <w:b/>
          <w:bCs/>
          <w:lang w:val="sr-Latn-CS"/>
        </w:rPr>
        <w:t xml:space="preserve">Radna grupa za sadržaj programa </w:t>
      </w:r>
      <w:r>
        <w:rPr>
          <w:lang w:val="sr-Latn-CS"/>
        </w:rPr>
        <w:t xml:space="preserve">je završila svoj nacrt za deo strategije namenjen sadržaju programa kojim su određeni standardi o sadržaju programa prilikom prelaska sa analognog na digitalno emitovanje. Posebna pažnja je posvećena određivanju osnovnog okvira sadržaja programa, u zavisnosti od vrste emitera koji deluju u Republici Kosovo i harmonizacije programa u skladu sa Direktivom EU odnosno Direktivom </w:t>
      </w:r>
      <w:r w:rsidRPr="00B4287C">
        <w:rPr>
          <w:lang w:val="sr-Latn-CS"/>
        </w:rPr>
        <w:t>AVMS</w:t>
      </w:r>
      <w:r w:rsidRPr="00B4287C">
        <w:rPr>
          <w:rStyle w:val="FootnoteReference"/>
          <w:lang w:val="sr-Latn-CS"/>
        </w:rPr>
        <w:footnoteReference w:id="2"/>
      </w:r>
      <w:r w:rsidRPr="00B4287C">
        <w:rPr>
          <w:lang w:val="sr-Latn-CS"/>
        </w:rPr>
        <w:t>.</w:t>
      </w:r>
    </w:p>
    <w:p w:rsidR="00E843CB" w:rsidRPr="00B4287C" w:rsidRDefault="00E843CB" w:rsidP="004E7697">
      <w:pPr>
        <w:spacing w:before="100" w:beforeAutospacing="1" w:after="100" w:afterAutospacing="1"/>
        <w:jc w:val="both"/>
        <w:rPr>
          <w:b/>
          <w:bCs/>
          <w:highlight w:val="yellow"/>
          <w:lang w:val="sr-Latn-CS"/>
        </w:rPr>
      </w:pPr>
      <w:r>
        <w:rPr>
          <w:b/>
          <w:bCs/>
          <w:lang w:val="sr-Latn-CS"/>
        </w:rPr>
        <w:t xml:space="preserve">Radna grupa za pravna pitanja </w:t>
      </w:r>
      <w:r>
        <w:rPr>
          <w:lang w:val="sr-Latn-CS"/>
        </w:rPr>
        <w:t>je nastavila sa sastancima tokom kojih je predstavila deo o pravnim pitanjima strategije za digitalizaciju. Članovi RG su se stalno protivili radu zbog nepotpunog sastava Saveta NKM, koji treba usvojiti nacrt koji će biti deo strategije, završavanje ovog dela o pravnim pitanjima je odloženo za 2012. godinu</w:t>
      </w:r>
      <w:r w:rsidRPr="00B4287C">
        <w:rPr>
          <w:lang w:val="sr-Latn-CS"/>
        </w:rPr>
        <w:t xml:space="preserve">. </w:t>
      </w:r>
    </w:p>
    <w:p w:rsidR="00E843CB" w:rsidRPr="00B4287C" w:rsidRDefault="00E843CB" w:rsidP="005E63A5">
      <w:pPr>
        <w:jc w:val="both"/>
        <w:rPr>
          <w:lang w:val="sr-Latn-CS"/>
        </w:rPr>
      </w:pPr>
      <w:r>
        <w:rPr>
          <w:lang w:val="sr-Latn-CS"/>
        </w:rPr>
        <w:t xml:space="preserve">NKM je radi nastavka rada </w:t>
      </w:r>
      <w:r>
        <w:rPr>
          <w:b/>
          <w:bCs/>
          <w:lang w:val="sr-Latn-CS"/>
        </w:rPr>
        <w:t xml:space="preserve">Grupe za tehnička pitanja </w:t>
      </w:r>
      <w:r>
        <w:rPr>
          <w:lang w:val="sr-Latn-CS"/>
        </w:rPr>
        <w:t>sastavila nacrt o raspoloživosti digitalnih frekvencija, kao i preporuke koje se fokusiraju na mogućnost nacionalnog i regionalnog multipleksa tokom tranzitne faze. Nacrt je predstavljen RG na dalje razmatranje. Predloženo je i predstavljanje regionalnih mreža u cilju obezbeđivanja funkcionisanja lokalnih i regionalnih medija i posle isključenja analognog sistema. Članovi RG su predložili još nekoliko opcija, ali nije donet konačni zaključak o tome koje će biti predstavljene Savetu NKM na usvajanje. Ovaj deo će se završiti u prvom delu 2012. godine</w:t>
      </w:r>
      <w:r w:rsidRPr="00B4287C">
        <w:rPr>
          <w:lang w:val="sr-Latn-CS"/>
        </w:rPr>
        <w:t xml:space="preserve">. </w:t>
      </w:r>
      <w:r>
        <w:rPr>
          <w:lang w:val="sr-Latn-CS"/>
        </w:rPr>
        <w:t>Problem nepotpunog Saveta tokom 2011. godine</w:t>
      </w:r>
      <w:r w:rsidRPr="00B4287C">
        <w:rPr>
          <w:lang w:val="sr-Latn-CS"/>
        </w:rPr>
        <w:t xml:space="preserve"> </w:t>
      </w:r>
      <w:r>
        <w:rPr>
          <w:lang w:val="sr-Latn-CS"/>
        </w:rPr>
        <w:t xml:space="preserve">je uticao i na rad tehničke RG, zato što se neki članovi RG nisu složili sa nastavkom rada do imenovanja svih članova Saveta. </w:t>
      </w:r>
    </w:p>
    <w:p w:rsidR="00E843CB" w:rsidRPr="00B4287C" w:rsidRDefault="00E843CB" w:rsidP="00A3448F">
      <w:pPr>
        <w:spacing w:before="100" w:beforeAutospacing="1" w:after="100" w:afterAutospacing="1"/>
        <w:jc w:val="both"/>
        <w:rPr>
          <w:i/>
          <w:iCs/>
          <w:lang w:val="sr-Latn-CS"/>
        </w:rPr>
      </w:pPr>
      <w:r>
        <w:rPr>
          <w:lang w:val="sr-Latn-CS"/>
        </w:rPr>
        <w:t xml:space="preserve">U cilju doprinošenja tačnim podacima potrebnim </w:t>
      </w:r>
      <w:r>
        <w:rPr>
          <w:b/>
          <w:bCs/>
          <w:lang w:val="sr-Latn-CS"/>
        </w:rPr>
        <w:t xml:space="preserve">Radnoj grupi za društveno-ekonomska pitanja, </w:t>
      </w:r>
      <w:r>
        <w:rPr>
          <w:lang w:val="sr-Latn-CS"/>
        </w:rPr>
        <w:t>NKM je sprovela dva istraživanja</w:t>
      </w:r>
      <w:r w:rsidRPr="00B4287C">
        <w:rPr>
          <w:rStyle w:val="FootnoteReference"/>
          <w:lang w:val="sr-Latn-CS"/>
        </w:rPr>
        <w:footnoteReference w:id="3"/>
      </w:r>
      <w:r w:rsidRPr="00B4287C">
        <w:rPr>
          <w:lang w:val="sr-Latn-CS"/>
        </w:rPr>
        <w:t xml:space="preserve"> </w:t>
      </w:r>
      <w:r>
        <w:rPr>
          <w:lang w:val="sr-Latn-CS"/>
        </w:rPr>
        <w:t xml:space="preserve">kojima je izvršena analiza reklamnog tržišta i procena nivoa gledanosti i dosezanja medija. </w:t>
      </w:r>
      <w:r>
        <w:rPr>
          <w:i/>
          <w:iCs/>
          <w:lang w:val="sr-Latn-CS"/>
        </w:rPr>
        <w:t xml:space="preserve">Za proces prelaska sa analognog na digitalno emitovanje je od posebnog značaja analiza reklamnog tržišta svih medija. </w:t>
      </w:r>
    </w:p>
    <w:p w:rsidR="00E843CB" w:rsidRPr="00B4287C" w:rsidRDefault="00E843CB" w:rsidP="00A3448F">
      <w:pPr>
        <w:autoSpaceDE w:val="0"/>
        <w:autoSpaceDN w:val="0"/>
        <w:adjustRightInd w:val="0"/>
        <w:jc w:val="both"/>
        <w:rPr>
          <w:lang w:val="sr-Latn-CS"/>
        </w:rPr>
      </w:pPr>
      <w:r>
        <w:rPr>
          <w:lang w:val="sr-Latn-CS"/>
        </w:rPr>
        <w:t xml:space="preserve">Istraživanjem </w:t>
      </w:r>
      <w:r>
        <w:rPr>
          <w:b/>
          <w:bCs/>
          <w:lang w:val="sr-Latn-CS"/>
        </w:rPr>
        <w:t xml:space="preserve">Analiza reklamnog tržišta u Republici Kosovo </w:t>
      </w:r>
      <w:r>
        <w:rPr>
          <w:lang w:val="sr-Latn-CS"/>
        </w:rPr>
        <w:t xml:space="preserve">su prikupljeni podaci od privatnih i javnih preduzeća u vezi sa realizacijom budžetskih planova za reklamiranje i identifikaciju medijskog tržišta (npr. koliko se reklamiraju na televizijama, radio stanicama i preko provajdera programskih usluga). Ovo istraživanje je obuhvatilo sedam regiona. Nalazi istraživanja su pokazali da  su javna preduzeća svojim planom za reklamiranje na TV stanicama nacionalnog pokrića odvojila </w:t>
      </w:r>
      <w:r w:rsidRPr="00B4287C">
        <w:rPr>
          <w:lang w:val="sr-Latn-CS"/>
        </w:rPr>
        <w:t xml:space="preserve">44% </w:t>
      </w:r>
      <w:r>
        <w:rPr>
          <w:lang w:val="sr-Latn-CS"/>
        </w:rPr>
        <w:t xml:space="preserve">budžeta, za reklamiranje na lokalnim TV 10%, na radio stanicama nacionalnog pokrića 8%, na radio stanicama sa lokalnim pokrićem 9%; 11% za reklamiranje u dnevnim listovima i 18% za reklamiranje preko drugih medija. </w:t>
      </w:r>
    </w:p>
    <w:p w:rsidR="00E843CB" w:rsidRPr="00B4287C" w:rsidRDefault="00E843CB" w:rsidP="00A3448F">
      <w:pPr>
        <w:autoSpaceDE w:val="0"/>
        <w:autoSpaceDN w:val="0"/>
        <w:adjustRightInd w:val="0"/>
        <w:jc w:val="both"/>
        <w:rPr>
          <w:lang w:val="sr-Latn-CS"/>
        </w:rPr>
      </w:pPr>
    </w:p>
    <w:p w:rsidR="00E843CB" w:rsidRPr="00B4287C" w:rsidRDefault="00E843CB" w:rsidP="00CF562C">
      <w:pPr>
        <w:jc w:val="both"/>
        <w:rPr>
          <w:lang w:val="sr-Latn-CS"/>
        </w:rPr>
      </w:pPr>
      <w:r>
        <w:rPr>
          <w:lang w:val="sr-Latn-CS"/>
        </w:rPr>
        <w:t xml:space="preserve">Istraživanjem </w:t>
      </w:r>
      <w:r>
        <w:rPr>
          <w:b/>
          <w:bCs/>
          <w:lang w:val="sr-Latn-CS"/>
        </w:rPr>
        <w:t xml:space="preserve">Nivoa gledanosti i dosezanja medija </w:t>
      </w:r>
      <w:r>
        <w:rPr>
          <w:lang w:val="sr-Latn-CS"/>
        </w:rPr>
        <w:t>je procenjen postojeći kapacitet koji pruža pristup audiovizuelnim medijskim servisima u Republici Kosovo: broj TV uređaja u domaćinstvu, detalji i specifikacije TV uređaja u domaćinstvu, vrsta prijema TV signala (zemaljski, kablovski, satelitski, IPTV, itd.</w:t>
      </w:r>
      <w:r w:rsidRPr="00B4287C">
        <w:rPr>
          <w:lang w:val="sr-Latn-CS"/>
        </w:rPr>
        <w:t>).</w:t>
      </w:r>
      <w:r>
        <w:rPr>
          <w:lang w:val="sr-Latn-CS"/>
        </w:rPr>
        <w:t xml:space="preserve"> Istraživanje je obezbedilo približan broj porodica, način prijema TV signala i trenutni kapacitet prijema analognog i budućeg digitalnog signala kod kosovskog stanovništva</w:t>
      </w:r>
      <w:r w:rsidRPr="00B4287C">
        <w:rPr>
          <w:lang w:val="sr-Latn-CS"/>
        </w:rPr>
        <w:t>.</w:t>
      </w:r>
    </w:p>
    <w:p w:rsidR="00E843CB" w:rsidRPr="00B4287C" w:rsidRDefault="00E843CB" w:rsidP="00A3448F">
      <w:pPr>
        <w:jc w:val="both"/>
        <w:rPr>
          <w:lang w:val="sr-Latn-CS"/>
        </w:rPr>
      </w:pPr>
    </w:p>
    <w:p w:rsidR="00E843CB" w:rsidRPr="00B4287C" w:rsidRDefault="00E843CB" w:rsidP="00A3448F">
      <w:pPr>
        <w:jc w:val="both"/>
        <w:rPr>
          <w:lang w:val="sr-Latn-CS"/>
        </w:rPr>
      </w:pPr>
      <w:r>
        <w:rPr>
          <w:lang w:val="sr-Latn-CS"/>
        </w:rPr>
        <w:t xml:space="preserve">Istraživanjem se zaključuje da kablovsku platformu koristi oko </w:t>
      </w:r>
      <w:r w:rsidRPr="00B4287C">
        <w:rPr>
          <w:lang w:val="sr-Latn-CS"/>
        </w:rPr>
        <w:t xml:space="preserve">49.2%, </w:t>
      </w:r>
      <w:r>
        <w:rPr>
          <w:lang w:val="sr-Latn-CS"/>
        </w:rPr>
        <w:t>za razliku od zemaljskog emitovanja koje koristi</w:t>
      </w:r>
      <w:r w:rsidRPr="00B4287C">
        <w:rPr>
          <w:lang w:val="sr-Latn-CS"/>
        </w:rPr>
        <w:t xml:space="preserve"> 22.7 %. </w:t>
      </w:r>
      <w:r>
        <w:rPr>
          <w:lang w:val="sr-Latn-CS"/>
        </w:rPr>
        <w:t xml:space="preserve">To zbog činjenice da i pored pokrivenosti zemaljskim TV signalom, većina kosovskih porodica koristi kablovski sistem preko kojeg dobija i zemaljski signal medija licenciranih na Kosovu. </w:t>
      </w:r>
    </w:p>
    <w:p w:rsidR="00E843CB" w:rsidRPr="00B4287C" w:rsidRDefault="00E843CB" w:rsidP="00A3448F">
      <w:pPr>
        <w:jc w:val="both"/>
        <w:rPr>
          <w:lang w:val="sr-Latn-CS"/>
        </w:rPr>
      </w:pPr>
      <w:r>
        <w:rPr>
          <w:lang w:val="sr-Latn-CS"/>
        </w:rPr>
        <w:t xml:space="preserve">Realno stanje pokrivenosti televizijskim signalom na nacionalnom nivou iznosi 62,7%, a na regionalno-lokalnom oko </w:t>
      </w:r>
      <w:r w:rsidRPr="00B4287C">
        <w:rPr>
          <w:lang w:val="sr-Latn-CS"/>
        </w:rPr>
        <w:t>68.14%.</w:t>
      </w:r>
      <w:r>
        <w:rPr>
          <w:lang w:val="sr-Latn-CS"/>
        </w:rPr>
        <w:t xml:space="preserve"> NKM ove podatke zasniva pokrivenost za koju su licencirani mediji od strane NKM, kao i na osnovu redovnih merenja koje sprovodi na terenu radi verifikacije i procene realizacije te pokrivenosti. </w:t>
      </w:r>
    </w:p>
    <w:p w:rsidR="00E843CB" w:rsidRPr="00B4287C" w:rsidRDefault="00E843CB" w:rsidP="00947121">
      <w:pPr>
        <w:numPr>
          <w:ilvl w:val="0"/>
          <w:numId w:val="8"/>
        </w:numPr>
        <w:spacing w:before="100" w:beforeAutospacing="1" w:after="100" w:afterAutospacing="1"/>
        <w:jc w:val="both"/>
        <w:outlineLvl w:val="2"/>
        <w:rPr>
          <w:b/>
          <w:bCs/>
          <w:i/>
          <w:iCs/>
          <w:color w:val="000000"/>
          <w:lang w:val="sr-Latn-CS"/>
        </w:rPr>
      </w:pPr>
      <w:bookmarkStart w:id="39" w:name="_Toc319311022"/>
      <w:r>
        <w:rPr>
          <w:b/>
          <w:bCs/>
          <w:i/>
          <w:iCs/>
          <w:lang w:val="sr-Latn-CS"/>
        </w:rPr>
        <w:t>Razvoj medijskog tržišta koje služi svim građanima Kosova</w:t>
      </w:r>
      <w:bookmarkEnd w:id="39"/>
      <w:r w:rsidRPr="00B4287C">
        <w:rPr>
          <w:b/>
          <w:bCs/>
          <w:i/>
          <w:iCs/>
          <w:color w:val="000000"/>
          <w:lang w:val="sr-Latn-CS"/>
        </w:rPr>
        <w:t xml:space="preserve"> </w:t>
      </w:r>
    </w:p>
    <w:p w:rsidR="00E843CB" w:rsidRPr="00B4287C" w:rsidRDefault="00E843CB" w:rsidP="00910757">
      <w:pPr>
        <w:spacing w:before="100" w:beforeAutospacing="1" w:after="100" w:afterAutospacing="1"/>
        <w:jc w:val="both"/>
        <w:rPr>
          <w:color w:val="000000"/>
          <w:lang w:val="sr-Latn-CS"/>
        </w:rPr>
      </w:pPr>
      <w:r>
        <w:rPr>
          <w:i/>
          <w:iCs/>
          <w:lang w:val="sr-Latn-CS"/>
        </w:rPr>
        <w:t xml:space="preserve">2.1 Izdavanje novih licenci za analognu mrežu </w:t>
      </w:r>
      <w:r>
        <w:rPr>
          <w:b/>
          <w:bCs/>
          <w:i/>
          <w:iCs/>
          <w:lang w:val="sr-Latn-CS"/>
        </w:rPr>
        <w:t>–</w:t>
      </w:r>
      <w:r w:rsidRPr="00B4287C">
        <w:rPr>
          <w:b/>
          <w:bCs/>
          <w:i/>
          <w:iCs/>
          <w:lang w:val="sr-Latn-CS"/>
        </w:rPr>
        <w:t xml:space="preserve"> </w:t>
      </w:r>
      <w:r>
        <w:rPr>
          <w:lang w:val="sr-Latn-CS"/>
        </w:rPr>
        <w:t>NKM je došla do zaključka da u nekim delovima Kosova građani nemaju dovoljno pristupa medijima koji bi im pružili informacije opšteg ili lokalnog karaktera. Prema tome, nakon završavanja procesa dugoročnog licenciranja 2010. godine</w:t>
      </w:r>
      <w:r w:rsidRPr="00B4287C">
        <w:rPr>
          <w:color w:val="000000"/>
          <w:lang w:val="sr-Latn-CS"/>
        </w:rPr>
        <w:t xml:space="preserve"> </w:t>
      </w:r>
      <w:r>
        <w:rPr>
          <w:color w:val="000000"/>
          <w:lang w:val="sr-Latn-CS"/>
        </w:rPr>
        <w:t>NKM je razmotrila plan analognih frekvencija i identifikovala one slobodne u zonama</w:t>
      </w:r>
      <w:r w:rsidRPr="00B4287C">
        <w:rPr>
          <w:rStyle w:val="FootnoteReference"/>
          <w:color w:val="000000"/>
          <w:lang w:val="sr-Latn-CS"/>
        </w:rPr>
        <w:footnoteReference w:id="4"/>
      </w:r>
      <w:r w:rsidRPr="00B4287C">
        <w:rPr>
          <w:color w:val="000000"/>
          <w:lang w:val="sr-Latn-CS"/>
        </w:rPr>
        <w:t xml:space="preserve"> </w:t>
      </w:r>
      <w:r>
        <w:rPr>
          <w:color w:val="000000"/>
          <w:lang w:val="sr-Latn-CS"/>
        </w:rPr>
        <w:t xml:space="preserve">za koje smatra da postoji potreba za radio-televizijskim signalom, pa je planirala da tokom 2011. godine otvori konkurs za izdavanje slobodnih frekvencija. </w:t>
      </w:r>
    </w:p>
    <w:p w:rsidR="00E843CB" w:rsidRPr="00B4287C" w:rsidRDefault="00E843CB" w:rsidP="00552667">
      <w:pPr>
        <w:jc w:val="both"/>
        <w:rPr>
          <w:lang w:val="sr-Latn-CS"/>
        </w:rPr>
      </w:pPr>
      <w:r w:rsidRPr="00B4287C">
        <w:rPr>
          <w:i/>
          <w:iCs/>
          <w:color w:val="000000"/>
          <w:lang w:val="sr-Latn-CS"/>
        </w:rPr>
        <w:t>2.2 Licenci</w:t>
      </w:r>
      <w:r>
        <w:rPr>
          <w:i/>
          <w:iCs/>
          <w:color w:val="000000"/>
          <w:lang w:val="sr-Latn-CS"/>
        </w:rPr>
        <w:t>ranje kablovskih operatora na severu Kosova</w:t>
      </w:r>
      <w:r w:rsidRPr="00B4287C">
        <w:rPr>
          <w:color w:val="000000"/>
          <w:lang w:val="sr-Latn-CS"/>
        </w:rPr>
        <w:t xml:space="preserve"> – </w:t>
      </w:r>
      <w:r>
        <w:rPr>
          <w:color w:val="000000"/>
          <w:lang w:val="sr-Latn-CS"/>
        </w:rPr>
        <w:t>ova aktivnost licenciranja ilegalnih kablovskih operatora je bio jedan od prioriteta NKM za 2011. godinu</w:t>
      </w:r>
      <w:r w:rsidRPr="00B4287C">
        <w:rPr>
          <w:lang w:val="sr-Latn-CS"/>
        </w:rPr>
        <w:t xml:space="preserve">. </w:t>
      </w:r>
    </w:p>
    <w:p w:rsidR="00E843CB" w:rsidRPr="00B4287C" w:rsidRDefault="00E843CB" w:rsidP="00552667">
      <w:pPr>
        <w:jc w:val="both"/>
        <w:rPr>
          <w:lang w:val="sr-Latn-CS"/>
        </w:rPr>
      </w:pPr>
    </w:p>
    <w:p w:rsidR="00E843CB" w:rsidRPr="00B4287C" w:rsidRDefault="00E843CB" w:rsidP="00B92BE3">
      <w:pPr>
        <w:jc w:val="both"/>
        <w:rPr>
          <w:lang w:val="sr-Latn-CS"/>
        </w:rPr>
      </w:pPr>
      <w:r>
        <w:rPr>
          <w:lang w:val="sr-Latn-CS"/>
        </w:rPr>
        <w:t>Obe gore navedene aktivnosti, koje su bile i ciljevi NKM za 2011. godinu,</w:t>
      </w:r>
      <w:r w:rsidRPr="00B4287C">
        <w:rPr>
          <w:lang w:val="sr-Latn-CS"/>
        </w:rPr>
        <w:t xml:space="preserve"> </w:t>
      </w:r>
      <w:r>
        <w:rPr>
          <w:lang w:val="sr-Latn-CS"/>
        </w:rPr>
        <w:t>se nisu mogle sprovesti zbog neimenovanja članova Saveta NKM. Što znači da u nedostatku visokog organa (Saveta NKM), NKM nije mogla da donese odluku o realizaciji ovih određenih ciljeva.</w:t>
      </w:r>
    </w:p>
    <w:p w:rsidR="00E843CB" w:rsidRPr="00B4287C" w:rsidRDefault="00E843CB" w:rsidP="00947121">
      <w:pPr>
        <w:numPr>
          <w:ilvl w:val="0"/>
          <w:numId w:val="8"/>
        </w:numPr>
        <w:spacing w:before="100" w:beforeAutospacing="1" w:after="100" w:afterAutospacing="1"/>
        <w:jc w:val="both"/>
        <w:outlineLvl w:val="2"/>
        <w:rPr>
          <w:b/>
          <w:bCs/>
          <w:i/>
          <w:iCs/>
          <w:lang w:val="sr-Latn-CS"/>
        </w:rPr>
      </w:pPr>
      <w:bookmarkStart w:id="40" w:name="_Toc319311023"/>
      <w:r>
        <w:rPr>
          <w:b/>
          <w:bCs/>
          <w:i/>
          <w:iCs/>
          <w:color w:val="000000"/>
          <w:lang w:val="sr-Latn-CS"/>
        </w:rPr>
        <w:t>Razvoj politika emitovanja u skladu sa međunarodno priznatim standardima</w:t>
      </w:r>
      <w:bookmarkEnd w:id="40"/>
      <w:r w:rsidRPr="00B4287C">
        <w:rPr>
          <w:b/>
          <w:bCs/>
          <w:i/>
          <w:iCs/>
          <w:color w:val="000000"/>
          <w:lang w:val="sr-Latn-CS"/>
        </w:rPr>
        <w:t xml:space="preserve"> </w:t>
      </w:r>
    </w:p>
    <w:p w:rsidR="00E843CB" w:rsidRPr="00B4287C" w:rsidRDefault="00E843CB" w:rsidP="00B92BE3">
      <w:pPr>
        <w:jc w:val="both"/>
        <w:rPr>
          <w:lang w:val="sr-Latn-CS"/>
        </w:rPr>
      </w:pPr>
      <w:r w:rsidRPr="00B4287C">
        <w:rPr>
          <w:i/>
          <w:iCs/>
          <w:color w:val="000000"/>
          <w:lang w:val="sr-Latn-CS"/>
        </w:rPr>
        <w:t xml:space="preserve">3.1 </w:t>
      </w:r>
      <w:r>
        <w:rPr>
          <w:i/>
          <w:iCs/>
          <w:color w:val="000000"/>
          <w:lang w:val="sr-Latn-CS"/>
        </w:rPr>
        <w:t xml:space="preserve">Uredba o kablovskim operatorima </w:t>
      </w:r>
      <w:r>
        <w:rPr>
          <w:b/>
          <w:bCs/>
          <w:color w:val="000000"/>
          <w:lang w:val="sr-Latn-CS"/>
        </w:rPr>
        <w:t>–</w:t>
      </w:r>
      <w:r w:rsidRPr="00B4287C">
        <w:rPr>
          <w:b/>
          <w:bCs/>
          <w:color w:val="000000"/>
          <w:lang w:val="sr-Latn-CS"/>
        </w:rPr>
        <w:t xml:space="preserve"> </w:t>
      </w:r>
      <w:r>
        <w:rPr>
          <w:color w:val="000000"/>
          <w:lang w:val="sr-Latn-CS"/>
        </w:rPr>
        <w:t>NKM je tokom 2011. godine</w:t>
      </w:r>
      <w:r w:rsidRPr="00B4287C">
        <w:rPr>
          <w:color w:val="000000"/>
          <w:lang w:val="sr-Latn-CS"/>
        </w:rPr>
        <w:t xml:space="preserve"> </w:t>
      </w:r>
      <w:r>
        <w:rPr>
          <w:color w:val="000000"/>
          <w:lang w:val="sr-Latn-CS"/>
        </w:rPr>
        <w:t xml:space="preserve">radila na Nacrtu uredbe o kablovskim operatorima. Izmene i dopune se pretežno odnose na aspekat programskog sadržaja, zahtevajući od kablovskih operatora da svoje kablovske usluge usklade Uredbi NKM o zaštiti dece i maloletnika od štetnog programskog sadržaja, autorskom pravu i uslovima emitovanja signala audivozuelnih medijskih servisa (zemaljskih TV) licenciranih od strane NKM </w:t>
      </w:r>
      <w:r w:rsidRPr="00B4287C">
        <w:rPr>
          <w:lang w:val="sr-Latn-CS"/>
        </w:rPr>
        <w:t>(</w:t>
      </w:r>
      <w:r>
        <w:rPr>
          <w:lang w:val="sr-Latn-CS"/>
        </w:rPr>
        <w:t xml:space="preserve">pravilo koje se mora ispoštovati eng. </w:t>
      </w:r>
      <w:r w:rsidRPr="00965C2A">
        <w:rPr>
          <w:i/>
          <w:iCs/>
          <w:lang w:val="sr-Latn-CS"/>
        </w:rPr>
        <w:t>must carry rule</w:t>
      </w:r>
      <w:r w:rsidRPr="00B4287C">
        <w:rPr>
          <w:lang w:val="sr-Latn-CS"/>
        </w:rPr>
        <w:t xml:space="preserve">). </w:t>
      </w:r>
    </w:p>
    <w:p w:rsidR="00E843CB" w:rsidRPr="00B4287C" w:rsidRDefault="00E843CB" w:rsidP="00E7649C">
      <w:pPr>
        <w:pBdr>
          <w:bottom w:val="single" w:sz="12" w:space="1" w:color="auto"/>
        </w:pBdr>
        <w:spacing w:before="100" w:beforeAutospacing="1" w:after="100" w:afterAutospacing="1"/>
        <w:jc w:val="both"/>
        <w:rPr>
          <w:color w:val="000000"/>
          <w:lang w:val="sr-Latn-CS"/>
        </w:rPr>
      </w:pPr>
      <w:r w:rsidRPr="00B4287C">
        <w:rPr>
          <w:i/>
          <w:iCs/>
          <w:color w:val="000000"/>
          <w:lang w:val="sr-Latn-CS"/>
        </w:rPr>
        <w:t xml:space="preserve">3.2 </w:t>
      </w:r>
      <w:r>
        <w:rPr>
          <w:i/>
          <w:iCs/>
          <w:color w:val="000000"/>
          <w:lang w:val="sr-Latn-CS"/>
        </w:rPr>
        <w:t xml:space="preserve">Uredba o zaštiti dece i maloletnika od štetnog programskog sadržaja </w:t>
      </w:r>
      <w:r w:rsidRPr="00B4287C">
        <w:rPr>
          <w:b/>
          <w:bCs/>
          <w:color w:val="000000"/>
          <w:lang w:val="sr-Latn-CS"/>
        </w:rPr>
        <w:t>–</w:t>
      </w:r>
      <w:r w:rsidRPr="00B4287C">
        <w:rPr>
          <w:color w:val="000000"/>
          <w:lang w:val="sr-Latn-CS"/>
        </w:rPr>
        <w:t xml:space="preserve"> </w:t>
      </w:r>
      <w:r>
        <w:rPr>
          <w:color w:val="000000"/>
          <w:lang w:val="sr-Latn-CS"/>
        </w:rPr>
        <w:t>NKM je i tokom 2011. godine</w:t>
      </w:r>
      <w:r w:rsidRPr="00B4287C">
        <w:rPr>
          <w:color w:val="000000"/>
          <w:lang w:val="sr-Latn-CS"/>
        </w:rPr>
        <w:t xml:space="preserve"> </w:t>
      </w:r>
      <w:r>
        <w:rPr>
          <w:color w:val="000000"/>
          <w:lang w:val="sr-Latn-CS"/>
        </w:rPr>
        <w:t xml:space="preserve">radila na harmonizaciji ove Uredbe sa Zakonom o kinematografiji. Izmene i dopune su se fokusirale na vreme emitovanja programa shodno kategorijama i ista je harmonizovana sa Zakonom o kinematografiji. </w:t>
      </w:r>
    </w:p>
    <w:p w:rsidR="00E843CB" w:rsidRPr="00B4287C" w:rsidRDefault="00E843CB" w:rsidP="00E7649C">
      <w:pPr>
        <w:pBdr>
          <w:bottom w:val="single" w:sz="12" w:space="1" w:color="auto"/>
        </w:pBdr>
        <w:spacing w:before="100" w:beforeAutospacing="1" w:after="100" w:afterAutospacing="1"/>
        <w:jc w:val="both"/>
        <w:rPr>
          <w:color w:val="000000"/>
          <w:lang w:val="sr-Latn-CS"/>
        </w:rPr>
      </w:pPr>
      <w:r>
        <w:rPr>
          <w:color w:val="000000"/>
          <w:lang w:val="sr-Latn-CS"/>
        </w:rPr>
        <w:t>Ovi nacrti uredbi će se prvobitno usvojiti od Saveta NKM a nakon tog će se poslati za komentare, u skladu sa praksom usvajanja sekundarne legislative. Kao što je i navedeno ranije, zbog nepotpunog sastava Saveta i nemogućnosti donošenja odluka, nacrt uredbe nije usvojen.</w:t>
      </w:r>
    </w:p>
    <w:p w:rsidR="00E843CB" w:rsidRPr="00B4287C" w:rsidRDefault="00E843CB" w:rsidP="00E7649C">
      <w:pPr>
        <w:pBdr>
          <w:bottom w:val="single" w:sz="12" w:space="1" w:color="auto"/>
        </w:pBdr>
        <w:spacing w:before="100" w:beforeAutospacing="1" w:after="100" w:afterAutospacing="1"/>
        <w:jc w:val="both"/>
        <w:rPr>
          <w:color w:val="000000"/>
          <w:lang w:val="sr-Latn-CS"/>
        </w:rPr>
      </w:pPr>
    </w:p>
    <w:p w:rsidR="00E843CB" w:rsidRPr="00B4287C" w:rsidRDefault="00E843CB" w:rsidP="00947121">
      <w:pPr>
        <w:pStyle w:val="Default"/>
        <w:jc w:val="both"/>
        <w:outlineLvl w:val="0"/>
        <w:rPr>
          <w:b/>
          <w:bCs/>
          <w:lang w:val="sr-Latn-CS"/>
        </w:rPr>
      </w:pPr>
      <w:bookmarkStart w:id="41" w:name="_Toc319311024"/>
      <w:r>
        <w:rPr>
          <w:b/>
          <w:bCs/>
          <w:lang w:val="sr-Latn-CS"/>
        </w:rPr>
        <w:t xml:space="preserve">DEO </w:t>
      </w:r>
      <w:r w:rsidRPr="00B4287C">
        <w:rPr>
          <w:b/>
          <w:bCs/>
          <w:lang w:val="sr-Latn-CS"/>
        </w:rPr>
        <w:t>II</w:t>
      </w:r>
      <w:bookmarkEnd w:id="41"/>
    </w:p>
    <w:p w:rsidR="00E843CB" w:rsidRPr="00B4287C" w:rsidRDefault="00E843CB" w:rsidP="0070242E">
      <w:pPr>
        <w:spacing w:before="100" w:beforeAutospacing="1" w:after="100" w:afterAutospacing="1"/>
        <w:jc w:val="center"/>
        <w:outlineLvl w:val="1"/>
        <w:rPr>
          <w:b/>
          <w:bCs/>
          <w:color w:val="000000"/>
          <w:sz w:val="32"/>
          <w:szCs w:val="32"/>
          <w:lang w:val="sr-Latn-CS"/>
        </w:rPr>
      </w:pPr>
      <w:bookmarkStart w:id="42" w:name="_Toc319311025"/>
      <w:r>
        <w:rPr>
          <w:b/>
          <w:bCs/>
          <w:color w:val="000000"/>
          <w:sz w:val="32"/>
          <w:szCs w:val="32"/>
          <w:lang w:val="sr-Latn-CS"/>
        </w:rPr>
        <w:t>CILJEVI ZA 2012. GODINU</w:t>
      </w:r>
      <w:bookmarkEnd w:id="42"/>
    </w:p>
    <w:p w:rsidR="00E843CB" w:rsidRPr="00B4287C" w:rsidRDefault="00E843CB" w:rsidP="00D83D4C">
      <w:pPr>
        <w:spacing w:before="100" w:beforeAutospacing="1" w:after="100" w:afterAutospacing="1"/>
        <w:jc w:val="both"/>
        <w:rPr>
          <w:color w:val="000000"/>
          <w:lang w:val="sr-Latn-CS"/>
        </w:rPr>
      </w:pPr>
      <w:r>
        <w:rPr>
          <w:color w:val="000000"/>
          <w:lang w:val="sr-Latn-CS"/>
        </w:rPr>
        <w:t>Imenovanjem novih članova Saveta NKM će se odrediti i ciljevi za 2012. godinu</w:t>
      </w:r>
      <w:r w:rsidRPr="00B4287C">
        <w:rPr>
          <w:color w:val="000000"/>
          <w:lang w:val="sr-Latn-CS"/>
        </w:rPr>
        <w:t xml:space="preserve">. </w:t>
      </w:r>
    </w:p>
    <w:p w:rsidR="00E843CB" w:rsidRPr="00B4287C" w:rsidRDefault="00E843CB" w:rsidP="00D83D4C">
      <w:pPr>
        <w:spacing w:before="100" w:beforeAutospacing="1" w:after="100" w:afterAutospacing="1"/>
        <w:jc w:val="both"/>
        <w:rPr>
          <w:color w:val="000000"/>
          <w:lang w:val="sr-Latn-CS"/>
        </w:rPr>
      </w:pPr>
      <w:r>
        <w:rPr>
          <w:color w:val="000000"/>
          <w:lang w:val="sr-Latn-CS"/>
        </w:rPr>
        <w:t>Prioritet će ostati realizacija ciljeva za 2011. godinu</w:t>
      </w:r>
      <w:r w:rsidRPr="00B4287C">
        <w:rPr>
          <w:color w:val="000000"/>
          <w:lang w:val="sr-Latn-CS"/>
        </w:rPr>
        <w:t>.</w:t>
      </w: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Default="00E843CB" w:rsidP="007717E5">
      <w:pPr>
        <w:pBdr>
          <w:bottom w:val="single" w:sz="12" w:space="1" w:color="auto"/>
        </w:pBdr>
        <w:spacing w:before="100" w:beforeAutospacing="1" w:after="100" w:afterAutospacing="1"/>
        <w:jc w:val="both"/>
        <w:rPr>
          <w:color w:val="000000"/>
          <w:lang w:val="sr-Latn-CS"/>
        </w:rPr>
      </w:pPr>
    </w:p>
    <w:p w:rsidR="00E843CB" w:rsidRDefault="00E843CB" w:rsidP="007717E5">
      <w:pPr>
        <w:pBdr>
          <w:bottom w:val="single" w:sz="12" w:space="1" w:color="auto"/>
        </w:pBdr>
        <w:spacing w:before="100" w:beforeAutospacing="1" w:after="100" w:afterAutospacing="1"/>
        <w:jc w:val="both"/>
        <w:rPr>
          <w:color w:val="000000"/>
          <w:lang w:val="sr-Latn-CS"/>
        </w:rPr>
      </w:pPr>
    </w:p>
    <w:p w:rsidR="00E843CB" w:rsidRDefault="00E843CB" w:rsidP="007717E5">
      <w:pPr>
        <w:pBdr>
          <w:bottom w:val="single" w:sz="12" w:space="1" w:color="auto"/>
        </w:pBdr>
        <w:spacing w:before="100" w:beforeAutospacing="1" w:after="100" w:afterAutospacing="1"/>
        <w:jc w:val="both"/>
        <w:rPr>
          <w:color w:val="000000"/>
          <w:lang w:val="sr-Latn-CS"/>
        </w:rPr>
      </w:pPr>
    </w:p>
    <w:p w:rsidR="00E843CB" w:rsidRDefault="00E843CB" w:rsidP="007717E5">
      <w:pPr>
        <w:pBdr>
          <w:bottom w:val="single" w:sz="12" w:space="1" w:color="auto"/>
        </w:pBdr>
        <w:spacing w:before="100" w:beforeAutospacing="1" w:after="100" w:afterAutospacing="1"/>
        <w:jc w:val="both"/>
        <w:rPr>
          <w:color w:val="000000"/>
          <w:lang w:val="sr-Latn-CS"/>
        </w:rPr>
      </w:pPr>
    </w:p>
    <w:p w:rsidR="00E843CB"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7717E5">
      <w:pPr>
        <w:pBdr>
          <w:bottom w:val="single" w:sz="12" w:space="1" w:color="auto"/>
        </w:pBdr>
        <w:spacing w:before="100" w:beforeAutospacing="1" w:after="100" w:afterAutospacing="1"/>
        <w:jc w:val="both"/>
        <w:rPr>
          <w:color w:val="000000"/>
          <w:lang w:val="sr-Latn-CS"/>
        </w:rPr>
      </w:pPr>
    </w:p>
    <w:p w:rsidR="00E843CB" w:rsidRPr="00B4287C" w:rsidRDefault="00E843CB" w:rsidP="00947121">
      <w:pPr>
        <w:spacing w:before="100" w:beforeAutospacing="1" w:after="100" w:afterAutospacing="1"/>
        <w:jc w:val="both"/>
        <w:outlineLvl w:val="0"/>
        <w:rPr>
          <w:b/>
          <w:bCs/>
          <w:color w:val="000000"/>
          <w:lang w:val="sr-Latn-CS"/>
        </w:rPr>
      </w:pPr>
      <w:bookmarkStart w:id="43" w:name="_Toc319311026"/>
      <w:bookmarkStart w:id="44" w:name="_Toc223318267"/>
      <w:bookmarkStart w:id="45" w:name="_Toc223318268"/>
      <w:bookmarkEnd w:id="36"/>
      <w:r>
        <w:rPr>
          <w:b/>
          <w:bCs/>
          <w:color w:val="000000"/>
          <w:lang w:val="sr-Latn-CS"/>
        </w:rPr>
        <w:t xml:space="preserve">DEO </w:t>
      </w:r>
      <w:r w:rsidRPr="00B4287C">
        <w:rPr>
          <w:b/>
          <w:bCs/>
          <w:color w:val="000000"/>
          <w:lang w:val="sr-Latn-CS"/>
        </w:rPr>
        <w:t>III</w:t>
      </w:r>
      <w:bookmarkEnd w:id="43"/>
    </w:p>
    <w:p w:rsidR="00E843CB" w:rsidRPr="00B4287C" w:rsidRDefault="00E843CB" w:rsidP="00947121">
      <w:pPr>
        <w:pStyle w:val="NormalWeb"/>
        <w:jc w:val="center"/>
        <w:outlineLvl w:val="1"/>
        <w:rPr>
          <w:b/>
          <w:bCs/>
          <w:lang w:val="sr-Latn-CS"/>
        </w:rPr>
      </w:pPr>
      <w:bookmarkStart w:id="46" w:name="_Toc319311027"/>
      <w:bookmarkEnd w:id="44"/>
      <w:r>
        <w:rPr>
          <w:b/>
          <w:bCs/>
          <w:color w:val="000000"/>
          <w:lang w:val="sr-Latn-CS"/>
        </w:rPr>
        <w:t>SAVETOVANJE NKM</w:t>
      </w:r>
      <w:bookmarkEnd w:id="46"/>
      <w:r>
        <w:rPr>
          <w:b/>
          <w:bCs/>
          <w:color w:val="000000"/>
          <w:lang w:val="sr-Latn-CS"/>
        </w:rPr>
        <w:t xml:space="preserve"> </w:t>
      </w:r>
    </w:p>
    <w:p w:rsidR="00E843CB" w:rsidRPr="00B4287C" w:rsidRDefault="00E843CB" w:rsidP="00947121">
      <w:pPr>
        <w:jc w:val="both"/>
        <w:outlineLvl w:val="2"/>
        <w:rPr>
          <w:b/>
          <w:bCs/>
          <w:i/>
          <w:iCs/>
          <w:color w:val="000000"/>
          <w:lang w:val="sr-Latn-CS"/>
        </w:rPr>
      </w:pPr>
      <w:bookmarkStart w:id="47" w:name="_Toc319311028"/>
      <w:r>
        <w:rPr>
          <w:b/>
          <w:bCs/>
          <w:i/>
          <w:iCs/>
          <w:color w:val="000000"/>
          <w:lang w:val="sr-Latn-CS"/>
        </w:rPr>
        <w:t>Sastav i nominacije</w:t>
      </w:r>
      <w:bookmarkEnd w:id="47"/>
      <w:r>
        <w:rPr>
          <w:b/>
          <w:bCs/>
          <w:i/>
          <w:iCs/>
          <w:color w:val="000000"/>
          <w:lang w:val="sr-Latn-CS"/>
        </w:rPr>
        <w:t xml:space="preserve"> </w:t>
      </w:r>
    </w:p>
    <w:p w:rsidR="00E843CB" w:rsidRPr="00B4287C" w:rsidRDefault="00E843CB" w:rsidP="00B54C88">
      <w:pPr>
        <w:jc w:val="both"/>
        <w:rPr>
          <w:i/>
          <w:iCs/>
          <w:color w:val="000000"/>
          <w:lang w:val="sr-Latn-CS"/>
        </w:rPr>
      </w:pPr>
      <w:r>
        <w:rPr>
          <w:color w:val="000000"/>
          <w:lang w:val="sr-Latn-CS"/>
        </w:rPr>
        <w:t xml:space="preserve">Savet Nezavisne komisije za medije, kao organ za donošenje odluka, je tokom 2011. godine imao samo dva od sedam (7) članova koliko predviđa Zakon o NKM. U tom sastavu, odnosno nedostatku kvoruma, je bilo nemoguće donositi odluke o sprovođenju politika i regulisanje emitovanja. </w:t>
      </w:r>
    </w:p>
    <w:p w:rsidR="00E843CB" w:rsidRPr="00B4287C" w:rsidRDefault="00E843CB" w:rsidP="00B54C88">
      <w:pPr>
        <w:jc w:val="both"/>
        <w:rPr>
          <w:i/>
          <w:iCs/>
          <w:color w:val="000000"/>
          <w:lang w:val="sr-Latn-CS"/>
        </w:rPr>
      </w:pPr>
    </w:p>
    <w:p w:rsidR="00E843CB" w:rsidRPr="00B4287C" w:rsidRDefault="00E843CB" w:rsidP="00B54C88">
      <w:pPr>
        <w:jc w:val="both"/>
        <w:rPr>
          <w:color w:val="000000"/>
          <w:lang w:val="sr-Latn-CS"/>
        </w:rPr>
      </w:pPr>
      <w:r>
        <w:rPr>
          <w:color w:val="000000"/>
          <w:lang w:val="sr-Latn-CS"/>
        </w:rPr>
        <w:t>Mandat četvoro članova Saveta NKM je istekao 15. decembra</w:t>
      </w:r>
      <w:r w:rsidRPr="00B4287C">
        <w:rPr>
          <w:color w:val="000000"/>
          <w:lang w:val="sr-Latn-CS"/>
        </w:rPr>
        <w:t xml:space="preserve"> 2010.</w:t>
      </w: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r>
        <w:rPr>
          <w:color w:val="000000"/>
          <w:lang w:val="sr-Latn-CS"/>
        </w:rPr>
        <w:t>NKM je posle procesa nominacija</w:t>
      </w:r>
      <w:r w:rsidRPr="00B4287C">
        <w:rPr>
          <w:rStyle w:val="FootnoteReference"/>
          <w:color w:val="000000"/>
          <w:lang w:val="sr-Latn-CS"/>
        </w:rPr>
        <w:footnoteReference w:id="5"/>
      </w:r>
      <w:r>
        <w:rPr>
          <w:color w:val="000000"/>
          <w:lang w:val="sr-Latn-CS"/>
        </w:rPr>
        <w:t xml:space="preserve"> 1. oktobra 2010. godine prosledila Skupštini listu članova nominovanih od strane civilnog društva, u skladu sa rokom koji određuje Zakon o NKM. Skupštini Republike Kosovo je, shodno novoj legislaturi, ista lista poslata 21. marta</w:t>
      </w:r>
      <w:r w:rsidRPr="00B4287C">
        <w:rPr>
          <w:color w:val="000000"/>
          <w:lang w:val="sr-Latn-CS"/>
        </w:rPr>
        <w:t xml:space="preserve"> 2011. </w:t>
      </w:r>
    </w:p>
    <w:p w:rsidR="00E843CB" w:rsidRPr="00B4287C" w:rsidRDefault="00E843CB" w:rsidP="00B54C88">
      <w:pPr>
        <w:jc w:val="both"/>
        <w:rPr>
          <w:color w:val="000000"/>
          <w:lang w:val="sr-Latn-CS"/>
        </w:rPr>
      </w:pPr>
    </w:p>
    <w:p w:rsidR="00E843CB" w:rsidRPr="00B4287C" w:rsidRDefault="00E843CB" w:rsidP="00947121">
      <w:pPr>
        <w:jc w:val="center"/>
        <w:outlineLvl w:val="1"/>
        <w:rPr>
          <w:b/>
          <w:bCs/>
          <w:color w:val="000000"/>
          <w:lang w:val="sr-Latn-CS"/>
        </w:rPr>
      </w:pPr>
      <w:bookmarkStart w:id="48" w:name="_Toc319311029"/>
      <w:r w:rsidRPr="00B4287C">
        <w:rPr>
          <w:b/>
          <w:bCs/>
          <w:color w:val="000000"/>
          <w:lang w:val="sr-Latn-CS"/>
        </w:rPr>
        <w:t>ORGANIZ</w:t>
      </w:r>
      <w:r>
        <w:rPr>
          <w:b/>
          <w:bCs/>
          <w:color w:val="000000"/>
          <w:lang w:val="sr-Latn-CS"/>
        </w:rPr>
        <w:t>OVANJE JAVNIH SASTANAKA</w:t>
      </w:r>
      <w:bookmarkEnd w:id="48"/>
      <w:r>
        <w:rPr>
          <w:b/>
          <w:bCs/>
          <w:color w:val="000000"/>
          <w:lang w:val="sr-Latn-CS"/>
        </w:rPr>
        <w:t xml:space="preserve"> </w:t>
      </w: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r>
        <w:rPr>
          <w:color w:val="000000"/>
          <w:lang w:val="sr-Latn-CS"/>
        </w:rPr>
        <w:t>Nezavisna komisija za medije (NKM) je novembra 2011. godine</w:t>
      </w:r>
      <w:r w:rsidRPr="00B4287C">
        <w:rPr>
          <w:color w:val="000000"/>
          <w:lang w:val="sr-Latn-CS"/>
        </w:rPr>
        <w:t xml:space="preserve"> </w:t>
      </w:r>
      <w:r>
        <w:rPr>
          <w:color w:val="000000"/>
          <w:lang w:val="sr-Latn-CS"/>
        </w:rPr>
        <w:t>organizovala konferenciju na temu „Zaštita dece i maloletnika od štetnog programskog sadržaja“. Ova konferencija je organizovana uz tehničku podršku misije OEBS-a na Kosovu</w:t>
      </w:r>
      <w:r w:rsidRPr="00B4287C">
        <w:rPr>
          <w:color w:val="000000"/>
          <w:lang w:val="sr-Latn-CS"/>
        </w:rPr>
        <w:t xml:space="preserve">. </w:t>
      </w: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r>
        <w:rPr>
          <w:color w:val="000000"/>
          <w:lang w:val="sr-Latn-CS"/>
        </w:rPr>
        <w:t xml:space="preserve">NKM je na konferenciji objavila nalaze izveštaja monitoringa koji je sprovelo Odeljenje za monitoring i analizu (OMA) u vezi sa saglasnošću televizija i provajdera programskih usluga sa Uredbom o zaštiti dece i maloletnika od štetnog programskog sadržaja. </w:t>
      </w: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r>
        <w:rPr>
          <w:color w:val="000000"/>
          <w:lang w:val="sr-Latn-CS"/>
        </w:rPr>
        <w:t xml:space="preserve">Stručni psiholozi su, u psihološkom aspektu, procenili uticaj programskog sadržaja na decu i maloletnike, i zaključili su da se emitovanjem programa štetnog sadržaja negativno utiče na razvoj dece i maloletnika, uticaj kojeg može biti srednjoročan i dugoročan. </w:t>
      </w: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r>
        <w:rPr>
          <w:color w:val="000000"/>
          <w:lang w:val="sr-Latn-CS"/>
        </w:rPr>
        <w:t xml:space="preserve">Osim konferencije NKM je objavila i televizijski spot koji ima za cilj podizanje svesti građana o štetnom uticaju sadržaja programa na fizički, mentalni, emotivni i moralni razvoj dece i maloletnika. </w:t>
      </w: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p w:rsidR="00E843CB" w:rsidRPr="00B4287C" w:rsidRDefault="00E843CB" w:rsidP="00B54C88">
      <w:pPr>
        <w:jc w:val="both"/>
        <w:rPr>
          <w:color w:val="000000"/>
          <w:lang w:val="sr-Latn-CS"/>
        </w:rPr>
      </w:pPr>
    </w:p>
    <w:bookmarkEnd w:id="45"/>
    <w:p w:rsidR="00E843CB" w:rsidRPr="00B4287C" w:rsidRDefault="00E843CB" w:rsidP="00894782">
      <w:pPr>
        <w:jc w:val="both"/>
        <w:rPr>
          <w:b/>
          <w:bCs/>
          <w:color w:val="000000"/>
          <w:lang w:val="sr-Latn-CS"/>
        </w:rPr>
      </w:pPr>
    </w:p>
    <w:p w:rsidR="00E843CB" w:rsidRPr="00B4287C" w:rsidRDefault="00E843CB" w:rsidP="00894782">
      <w:pPr>
        <w:jc w:val="both"/>
        <w:rPr>
          <w:b/>
          <w:bCs/>
          <w:color w:val="000000"/>
          <w:lang w:val="sr-Latn-CS"/>
        </w:rPr>
      </w:pPr>
    </w:p>
    <w:p w:rsidR="00E843CB" w:rsidRPr="00B4287C" w:rsidRDefault="00E843CB" w:rsidP="00947121">
      <w:pPr>
        <w:pBdr>
          <w:bottom w:val="single" w:sz="12" w:space="1" w:color="auto"/>
        </w:pBdr>
        <w:jc w:val="both"/>
        <w:outlineLvl w:val="0"/>
        <w:rPr>
          <w:b/>
          <w:bCs/>
          <w:color w:val="000000"/>
          <w:lang w:val="sr-Latn-CS"/>
        </w:rPr>
      </w:pPr>
    </w:p>
    <w:p w:rsidR="00E843CB" w:rsidRPr="00B4287C" w:rsidRDefault="00E843CB" w:rsidP="00947121">
      <w:pPr>
        <w:jc w:val="both"/>
        <w:outlineLvl w:val="0"/>
        <w:rPr>
          <w:b/>
          <w:bCs/>
          <w:color w:val="000000"/>
          <w:lang w:val="sr-Latn-CS"/>
        </w:rPr>
      </w:pPr>
    </w:p>
    <w:p w:rsidR="00E843CB" w:rsidRPr="00B4287C" w:rsidRDefault="00E843CB" w:rsidP="00947121">
      <w:pPr>
        <w:jc w:val="both"/>
        <w:outlineLvl w:val="0"/>
        <w:rPr>
          <w:b/>
          <w:bCs/>
          <w:color w:val="000000"/>
          <w:lang w:val="sr-Latn-CS"/>
        </w:rPr>
      </w:pPr>
      <w:bookmarkStart w:id="49" w:name="_Toc319311030"/>
      <w:r>
        <w:rPr>
          <w:b/>
          <w:bCs/>
          <w:color w:val="000000"/>
          <w:lang w:val="sr-Latn-CS"/>
        </w:rPr>
        <w:t xml:space="preserve">DEO </w:t>
      </w:r>
      <w:r w:rsidRPr="00B4287C">
        <w:rPr>
          <w:b/>
          <w:bCs/>
          <w:color w:val="000000"/>
          <w:lang w:val="sr-Latn-CS"/>
        </w:rPr>
        <w:t>IV</w:t>
      </w:r>
      <w:bookmarkEnd w:id="49"/>
    </w:p>
    <w:p w:rsidR="00E843CB" w:rsidRPr="00B4287C" w:rsidRDefault="00E843CB" w:rsidP="00894782">
      <w:pPr>
        <w:rPr>
          <w:b/>
          <w:bCs/>
          <w:color w:val="000000"/>
          <w:lang w:val="sr-Latn-CS"/>
        </w:rPr>
      </w:pPr>
    </w:p>
    <w:p w:rsidR="00E843CB" w:rsidRPr="00B4287C" w:rsidRDefault="00E843CB" w:rsidP="00947121">
      <w:pPr>
        <w:jc w:val="center"/>
        <w:outlineLvl w:val="1"/>
        <w:rPr>
          <w:b/>
          <w:bCs/>
          <w:color w:val="000000"/>
          <w:sz w:val="32"/>
          <w:szCs w:val="32"/>
          <w:lang w:val="sr-Latn-CS"/>
        </w:rPr>
      </w:pPr>
      <w:bookmarkStart w:id="50" w:name="_Toc319311031"/>
      <w:r w:rsidRPr="00B4287C">
        <w:rPr>
          <w:b/>
          <w:bCs/>
          <w:color w:val="000000"/>
          <w:sz w:val="32"/>
          <w:szCs w:val="32"/>
          <w:lang w:val="sr-Latn-CS"/>
        </w:rPr>
        <w:t>PRE</w:t>
      </w:r>
      <w:r>
        <w:rPr>
          <w:b/>
          <w:bCs/>
          <w:color w:val="000000"/>
          <w:sz w:val="32"/>
          <w:szCs w:val="32"/>
          <w:lang w:val="sr-Latn-CS"/>
        </w:rPr>
        <w:t>DSTAVLJANJE RADA KANCELARIJE IZVEŠNOG ŠEFA</w:t>
      </w:r>
      <w:bookmarkEnd w:id="50"/>
      <w:r w:rsidRPr="00B4287C">
        <w:rPr>
          <w:b/>
          <w:bCs/>
          <w:color w:val="000000"/>
          <w:sz w:val="32"/>
          <w:szCs w:val="32"/>
          <w:lang w:val="sr-Latn-CS"/>
        </w:rPr>
        <w:t xml:space="preserve"> </w:t>
      </w:r>
    </w:p>
    <w:p w:rsidR="00E843CB" w:rsidRPr="00B4287C" w:rsidRDefault="00E843CB" w:rsidP="006740F1">
      <w:pPr>
        <w:rPr>
          <w:b/>
          <w:bCs/>
          <w:color w:val="000000"/>
          <w:lang w:val="sr-Latn-CS"/>
        </w:rPr>
      </w:pPr>
    </w:p>
    <w:p w:rsidR="00E843CB" w:rsidRPr="00B4287C" w:rsidRDefault="00E843CB" w:rsidP="00947121">
      <w:pPr>
        <w:outlineLvl w:val="2"/>
        <w:rPr>
          <w:b/>
          <w:bCs/>
          <w:i/>
          <w:iCs/>
          <w:color w:val="000000"/>
          <w:lang w:val="sr-Latn-CS"/>
        </w:rPr>
      </w:pPr>
      <w:bookmarkStart w:id="51" w:name="_Toc319311032"/>
      <w:r>
        <w:rPr>
          <w:b/>
          <w:bCs/>
          <w:i/>
          <w:iCs/>
          <w:color w:val="000000"/>
          <w:lang w:val="sr-Latn-CS"/>
        </w:rPr>
        <w:t>Osoblje</w:t>
      </w:r>
      <w:bookmarkEnd w:id="51"/>
      <w:r>
        <w:rPr>
          <w:b/>
          <w:bCs/>
          <w:i/>
          <w:iCs/>
          <w:color w:val="000000"/>
          <w:lang w:val="sr-Latn-CS"/>
        </w:rPr>
        <w:t xml:space="preserve"> </w:t>
      </w:r>
    </w:p>
    <w:p w:rsidR="00E843CB" w:rsidRPr="00B4287C" w:rsidRDefault="00E843CB" w:rsidP="006F3881">
      <w:pPr>
        <w:jc w:val="both"/>
        <w:rPr>
          <w:lang w:val="sr-Latn-CS"/>
        </w:rPr>
      </w:pPr>
    </w:p>
    <w:p w:rsidR="00E843CB" w:rsidRPr="00B4287C" w:rsidRDefault="00E843CB" w:rsidP="006F3881">
      <w:pPr>
        <w:jc w:val="both"/>
        <w:rPr>
          <w:lang w:val="sr-Latn-CS"/>
        </w:rPr>
      </w:pPr>
      <w:r>
        <w:rPr>
          <w:lang w:val="sr-Latn-CS"/>
        </w:rPr>
        <w:t xml:space="preserve">Kancelarija NKM je početkom </w:t>
      </w:r>
      <w:r w:rsidRPr="00B4287C">
        <w:rPr>
          <w:lang w:val="sr-Latn-CS"/>
        </w:rPr>
        <w:t>2011</w:t>
      </w:r>
      <w:r>
        <w:rPr>
          <w:lang w:val="sr-Latn-CS"/>
        </w:rPr>
        <w:t>. godine</w:t>
      </w:r>
      <w:r w:rsidRPr="00B4287C">
        <w:rPr>
          <w:lang w:val="sr-Latn-CS"/>
        </w:rPr>
        <w:t xml:space="preserve"> </w:t>
      </w:r>
      <w:r>
        <w:rPr>
          <w:lang w:val="sr-Latn-CS"/>
        </w:rPr>
        <w:t xml:space="preserve">obavljala svoju delatnost sa 29 radnika, dok se krajem iste broj povećao na </w:t>
      </w:r>
      <w:r w:rsidRPr="00B4287C">
        <w:rPr>
          <w:lang w:val="sr-Latn-CS"/>
        </w:rPr>
        <w:t xml:space="preserve">31. </w:t>
      </w:r>
      <w:r>
        <w:rPr>
          <w:lang w:val="sr-Latn-CS"/>
        </w:rPr>
        <w:t xml:space="preserve">Od 1. januara </w:t>
      </w:r>
      <w:r w:rsidRPr="00B4287C">
        <w:rPr>
          <w:lang w:val="sr-Latn-CS"/>
        </w:rPr>
        <w:t>2010</w:t>
      </w:r>
      <w:r>
        <w:rPr>
          <w:lang w:val="sr-Latn-CS"/>
        </w:rPr>
        <w:t>.</w:t>
      </w:r>
      <w:r w:rsidRPr="00B4287C">
        <w:rPr>
          <w:lang w:val="sr-Latn-CS"/>
        </w:rPr>
        <w:t xml:space="preserve"> </w:t>
      </w:r>
      <w:r>
        <w:rPr>
          <w:lang w:val="sr-Latn-CS"/>
        </w:rPr>
        <w:t>do 31. decembra</w:t>
      </w:r>
      <w:r w:rsidRPr="00B4287C">
        <w:rPr>
          <w:lang w:val="sr-Latn-CS"/>
        </w:rPr>
        <w:t xml:space="preserve"> 2010</w:t>
      </w:r>
      <w:r>
        <w:rPr>
          <w:lang w:val="sr-Latn-CS"/>
        </w:rPr>
        <w:t>. godine</w:t>
      </w:r>
      <w:r w:rsidRPr="00B4287C">
        <w:rPr>
          <w:lang w:val="sr-Latn-CS"/>
        </w:rPr>
        <w:t xml:space="preserve"> </w:t>
      </w:r>
      <w:r>
        <w:rPr>
          <w:lang w:val="sr-Latn-CS"/>
        </w:rPr>
        <w:t>je zaposlen jedan (1) Viši službenik za regionalni monitoring i jedan (1) Izvršni asistent. U Odeljenju za administraciju, tačnije Odseku za finansije jedan od zaposlenih je prebačen sa pozicije Visokog službenika za regionalni monitoring na poziciju Visokog službenika za finansije</w:t>
      </w:r>
      <w:r w:rsidRPr="00B4287C">
        <w:rPr>
          <w:lang w:val="sr-Latn-CS"/>
        </w:rPr>
        <w:t>,</w:t>
      </w:r>
      <w:r>
        <w:rPr>
          <w:lang w:val="sr-Latn-CS"/>
        </w:rPr>
        <w:t xml:space="preserve"> dok je jedan (1) službenik odlučio da prekine radni odnos na poziciji Visokog službenika za finansije</w:t>
      </w:r>
      <w:r w:rsidRPr="00B4287C">
        <w:rPr>
          <w:lang w:val="sr-Latn-CS"/>
        </w:rPr>
        <w:t>.</w:t>
      </w:r>
    </w:p>
    <w:p w:rsidR="00E843CB" w:rsidRPr="00B4287C" w:rsidRDefault="00E843CB" w:rsidP="006F3881">
      <w:pPr>
        <w:jc w:val="both"/>
        <w:rPr>
          <w:lang w:val="sr-Latn-CS"/>
        </w:rPr>
      </w:pPr>
      <w:r w:rsidRPr="00B4287C">
        <w:rPr>
          <w:lang w:val="sr-Latn-CS"/>
        </w:rPr>
        <w:t> </w:t>
      </w:r>
    </w:p>
    <w:p w:rsidR="00E843CB" w:rsidRPr="00B4287C" w:rsidRDefault="00E843CB" w:rsidP="006F3881">
      <w:pPr>
        <w:jc w:val="both"/>
        <w:rPr>
          <w:lang w:val="sr-Latn-CS"/>
        </w:rPr>
      </w:pPr>
      <w:r>
        <w:rPr>
          <w:lang w:val="sr-Latn-CS"/>
        </w:rPr>
        <w:t xml:space="preserve">U periodu januar – decembar 2011. godine su objavljena 2 konkursa, dok je jedan obnovljen za sledeća radna mesta: 1 radno mesto Visokog službenika za regionalni monitoring, 1 radno mesto za Izvršnog asistenta, i jedan obnovljeni konkurs za Izvršnog asistenta. </w:t>
      </w:r>
    </w:p>
    <w:p w:rsidR="00E843CB" w:rsidRPr="00B4287C" w:rsidRDefault="00E843CB" w:rsidP="006740F1">
      <w:pPr>
        <w:jc w:val="center"/>
        <w:rPr>
          <w:i/>
          <w:iCs/>
          <w:color w:val="000000"/>
          <w:sz w:val="28"/>
          <w:szCs w:val="28"/>
          <w:highlight w:val="green"/>
          <w:lang w:val="sr-Latn-CS"/>
        </w:rPr>
      </w:pPr>
    </w:p>
    <w:p w:rsidR="00E843CB" w:rsidRPr="00B4287C" w:rsidRDefault="00E843CB" w:rsidP="00947121">
      <w:pPr>
        <w:jc w:val="center"/>
        <w:outlineLvl w:val="1"/>
        <w:rPr>
          <w:b/>
          <w:bCs/>
          <w:color w:val="000000"/>
          <w:sz w:val="28"/>
          <w:szCs w:val="28"/>
          <w:lang w:val="sr-Latn-CS"/>
        </w:rPr>
      </w:pPr>
      <w:bookmarkStart w:id="52" w:name="_Toc319311033"/>
      <w:r>
        <w:rPr>
          <w:b/>
          <w:bCs/>
          <w:color w:val="000000"/>
          <w:sz w:val="28"/>
          <w:szCs w:val="28"/>
          <w:lang w:val="sr-Latn-CS"/>
        </w:rPr>
        <w:t>ODELJENJE ZA MONITORING I ANALIZU</w:t>
      </w:r>
      <w:bookmarkEnd w:id="52"/>
      <w:r w:rsidRPr="00B4287C">
        <w:rPr>
          <w:b/>
          <w:bCs/>
          <w:color w:val="000000"/>
          <w:sz w:val="28"/>
          <w:szCs w:val="28"/>
          <w:lang w:val="sr-Latn-CS"/>
        </w:rPr>
        <w:t xml:space="preserve"> </w:t>
      </w:r>
    </w:p>
    <w:p w:rsidR="00E843CB" w:rsidRPr="00B4287C" w:rsidRDefault="00E843CB" w:rsidP="0073683C">
      <w:pPr>
        <w:jc w:val="center"/>
        <w:rPr>
          <w:b/>
          <w:bCs/>
          <w:color w:val="000000"/>
          <w:sz w:val="28"/>
          <w:szCs w:val="28"/>
          <w:lang w:val="sr-Latn-CS"/>
        </w:rPr>
      </w:pPr>
    </w:p>
    <w:p w:rsidR="00E843CB" w:rsidRPr="00B4287C" w:rsidRDefault="00E843CB" w:rsidP="009D1882">
      <w:pPr>
        <w:jc w:val="both"/>
        <w:rPr>
          <w:lang w:val="sr-Latn-CS"/>
        </w:rPr>
      </w:pPr>
      <w:r>
        <w:rPr>
          <w:lang w:val="sr-Latn-CS"/>
        </w:rPr>
        <w:t>Planom delovanja NKM za 2011. godinu</w:t>
      </w:r>
      <w:r w:rsidRPr="00B4287C">
        <w:rPr>
          <w:lang w:val="sr-Latn-CS"/>
        </w:rPr>
        <w:t xml:space="preserve"> </w:t>
      </w:r>
      <w:r>
        <w:rPr>
          <w:lang w:val="sr-Latn-CS"/>
        </w:rPr>
        <w:t>je predviđena realizacija projekata monitoringa o proceni saglasnosti sa</w:t>
      </w:r>
      <w:r w:rsidRPr="00B4287C">
        <w:rPr>
          <w:lang w:val="sr-Latn-CS"/>
        </w:rPr>
        <w:t xml:space="preserve">: </w:t>
      </w:r>
    </w:p>
    <w:p w:rsidR="00E843CB" w:rsidRPr="00B4287C" w:rsidRDefault="00E843CB" w:rsidP="009D1882">
      <w:pPr>
        <w:jc w:val="both"/>
        <w:rPr>
          <w:lang w:val="sr-Latn-CS"/>
        </w:rPr>
      </w:pPr>
    </w:p>
    <w:p w:rsidR="00E843CB" w:rsidRPr="00B4287C" w:rsidRDefault="00E843CB" w:rsidP="0016467D">
      <w:pPr>
        <w:numPr>
          <w:ilvl w:val="0"/>
          <w:numId w:val="9"/>
        </w:numPr>
        <w:jc w:val="both"/>
        <w:rPr>
          <w:lang w:val="sr-Latn-CS"/>
        </w:rPr>
      </w:pPr>
      <w:r>
        <w:rPr>
          <w:lang w:val="sr-Latn-CS"/>
        </w:rPr>
        <w:t>Uredbom za zaštitu dece i maloletnika od štetnog programskog sadržaja;</w:t>
      </w:r>
    </w:p>
    <w:p w:rsidR="00E843CB" w:rsidRPr="00B4287C" w:rsidRDefault="00E843CB" w:rsidP="0016467D">
      <w:pPr>
        <w:numPr>
          <w:ilvl w:val="0"/>
          <w:numId w:val="9"/>
        </w:numPr>
        <w:jc w:val="both"/>
        <w:rPr>
          <w:lang w:val="sr-Latn-CS"/>
        </w:rPr>
      </w:pPr>
      <w:r>
        <w:rPr>
          <w:lang w:val="sr-Latn-CS"/>
        </w:rPr>
        <w:t>Uredbom o audiovizuelnoj komercijalnoj komunikaciji;</w:t>
      </w:r>
    </w:p>
    <w:p w:rsidR="00E843CB" w:rsidRPr="00B4287C" w:rsidRDefault="00E843CB" w:rsidP="0016467D">
      <w:pPr>
        <w:numPr>
          <w:ilvl w:val="0"/>
          <w:numId w:val="9"/>
        </w:numPr>
        <w:jc w:val="both"/>
        <w:rPr>
          <w:lang w:val="sr-Latn-CS"/>
        </w:rPr>
      </w:pPr>
      <w:r>
        <w:rPr>
          <w:lang w:val="sr-Latn-CS"/>
        </w:rPr>
        <w:t>Uslovima i pravilima licence, 3 deo;</w:t>
      </w:r>
    </w:p>
    <w:p w:rsidR="00E843CB" w:rsidRPr="00B4287C" w:rsidRDefault="00E843CB" w:rsidP="0016467D">
      <w:pPr>
        <w:numPr>
          <w:ilvl w:val="0"/>
          <w:numId w:val="9"/>
        </w:numPr>
        <w:jc w:val="both"/>
        <w:rPr>
          <w:lang w:val="sr-Latn-CS"/>
        </w:rPr>
      </w:pPr>
      <w:r>
        <w:rPr>
          <w:lang w:val="sr-Latn-CS"/>
        </w:rPr>
        <w:t>Uredbom o autorskom pravu;</w:t>
      </w:r>
    </w:p>
    <w:p w:rsidR="00E843CB" w:rsidRPr="00B4287C" w:rsidRDefault="00E843CB" w:rsidP="0016467D">
      <w:pPr>
        <w:numPr>
          <w:ilvl w:val="0"/>
          <w:numId w:val="9"/>
        </w:numPr>
        <w:jc w:val="both"/>
        <w:rPr>
          <w:lang w:val="sr-Latn-CS"/>
        </w:rPr>
      </w:pPr>
      <w:r>
        <w:rPr>
          <w:lang w:val="sr-Latn-CS"/>
        </w:rPr>
        <w:t>Zakonom o RTK (programi na jezicima manjina</w:t>
      </w:r>
      <w:r w:rsidRPr="00B4287C">
        <w:rPr>
          <w:lang w:val="sr-Latn-CS"/>
        </w:rPr>
        <w:t>)</w:t>
      </w:r>
      <w:r>
        <w:rPr>
          <w:lang w:val="sr-Latn-CS"/>
        </w:rPr>
        <w:t>;</w:t>
      </w:r>
      <w:r w:rsidRPr="00B4287C">
        <w:rPr>
          <w:lang w:val="sr-Latn-CS"/>
        </w:rPr>
        <w:t xml:space="preserve"> </w:t>
      </w:r>
    </w:p>
    <w:p w:rsidR="00E843CB" w:rsidRPr="00B4287C" w:rsidRDefault="00E843CB" w:rsidP="0016467D">
      <w:pPr>
        <w:numPr>
          <w:ilvl w:val="0"/>
          <w:numId w:val="9"/>
        </w:numPr>
        <w:jc w:val="both"/>
        <w:rPr>
          <w:lang w:val="sr-Latn-CS"/>
        </w:rPr>
      </w:pPr>
      <w:r>
        <w:rPr>
          <w:lang w:val="sr-Latn-CS"/>
        </w:rPr>
        <w:t>Posete i provere svih provajdera medijskih usluga</w:t>
      </w:r>
      <w:r w:rsidRPr="00B4287C">
        <w:rPr>
          <w:lang w:val="sr-Latn-CS"/>
        </w:rPr>
        <w:t>.</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OMA je realizovalo sve pomenute projekte  predviđenom roku i za iste sastavilo izveštaje (pogledajte izveštaje priložene u aneksima</w:t>
      </w:r>
      <w:r w:rsidRPr="00B4287C">
        <w:rPr>
          <w:lang w:val="sr-Latn-CS"/>
        </w:rPr>
        <w:t>).</w:t>
      </w:r>
    </w:p>
    <w:p w:rsidR="00E843CB" w:rsidRPr="00B4287C" w:rsidRDefault="00E843CB" w:rsidP="009D1882">
      <w:pPr>
        <w:jc w:val="both"/>
        <w:rPr>
          <w:lang w:val="sr-Latn-CS"/>
        </w:rPr>
      </w:pPr>
      <w:r w:rsidRPr="00B4287C">
        <w:rPr>
          <w:lang w:val="sr-Latn-CS"/>
        </w:rPr>
        <w:t xml:space="preserve"> </w:t>
      </w:r>
    </w:p>
    <w:p w:rsidR="00E843CB" w:rsidRPr="00B4287C" w:rsidRDefault="00E843CB" w:rsidP="009D1882">
      <w:pPr>
        <w:jc w:val="both"/>
        <w:rPr>
          <w:color w:val="000000"/>
          <w:lang w:val="sr-Latn-CS"/>
        </w:rPr>
      </w:pPr>
      <w:r>
        <w:rPr>
          <w:lang w:val="sr-Latn-CS"/>
        </w:rPr>
        <w:t xml:space="preserve">Realizacija ovih monitoringa je pružila mogućnost Nezavisnoj komisiji za medije da jasnije sagleda performansu audiovizuelnih medijskih servisa. </w:t>
      </w:r>
    </w:p>
    <w:p w:rsidR="00E843CB" w:rsidRPr="00B4287C" w:rsidRDefault="00E843CB" w:rsidP="009D1882">
      <w:pPr>
        <w:jc w:val="both"/>
        <w:rPr>
          <w:color w:val="000000"/>
          <w:lang w:val="sr-Latn-CS"/>
        </w:rPr>
      </w:pPr>
      <w:r w:rsidRPr="00B4287C">
        <w:rPr>
          <w:lang w:val="sr-Latn-CS"/>
        </w:rPr>
        <w:t xml:space="preserve"> </w:t>
      </w:r>
    </w:p>
    <w:p w:rsidR="00E843CB" w:rsidRPr="00B4287C" w:rsidRDefault="00E843CB" w:rsidP="00947121">
      <w:pPr>
        <w:jc w:val="both"/>
        <w:outlineLvl w:val="2"/>
        <w:rPr>
          <w:b/>
          <w:bCs/>
          <w:i/>
          <w:iCs/>
          <w:lang w:val="sr-Latn-CS"/>
        </w:rPr>
      </w:pPr>
      <w:bookmarkStart w:id="53" w:name="_Toc319311034"/>
      <w:r w:rsidRPr="00B4287C">
        <w:rPr>
          <w:b/>
          <w:bCs/>
          <w:i/>
          <w:iCs/>
          <w:lang w:val="sr-Latn-CS"/>
        </w:rPr>
        <w:t>Monitori</w:t>
      </w:r>
      <w:r>
        <w:rPr>
          <w:b/>
          <w:bCs/>
          <w:i/>
          <w:iCs/>
          <w:lang w:val="sr-Latn-CS"/>
        </w:rPr>
        <w:t>ng saglasnosti sa Uredbom o zaštiti dece i maloletnika od štetnog programskog sadržaja</w:t>
      </w:r>
      <w:bookmarkEnd w:id="53"/>
    </w:p>
    <w:p w:rsidR="00E843CB" w:rsidRPr="00B4287C" w:rsidRDefault="00E843CB" w:rsidP="009D1882">
      <w:pPr>
        <w:jc w:val="both"/>
        <w:rPr>
          <w:i/>
          <w:iCs/>
          <w:lang w:val="sr-Latn-CS"/>
        </w:rPr>
      </w:pPr>
    </w:p>
    <w:p w:rsidR="00E843CB" w:rsidRPr="00B4287C" w:rsidRDefault="00E843CB" w:rsidP="009D1882">
      <w:pPr>
        <w:jc w:val="both"/>
        <w:rPr>
          <w:lang w:val="sr-Latn-CS"/>
        </w:rPr>
      </w:pPr>
      <w:r>
        <w:rPr>
          <w:lang w:val="sr-Latn-CS"/>
        </w:rPr>
        <w:t>Saglasnost audiovizuelnih medijskih servisa sa Uredbom o zaštiti dece i maloletnika od štetnog programskog sadržaja je prvi projekat monitoringa realizovan 2011. godine</w:t>
      </w:r>
      <w:r w:rsidRPr="00B4287C">
        <w:rPr>
          <w:lang w:val="sr-Latn-CS"/>
        </w:rPr>
        <w:t>,</w:t>
      </w:r>
      <w:r>
        <w:rPr>
          <w:lang w:val="sr-Latn-CS"/>
        </w:rPr>
        <w:t xml:space="preserve"> u koji su uključene televizije nacionalnog, regionalnog i lokalnog pokrića, kao i PPU</w:t>
      </w:r>
      <w:r w:rsidRPr="00B4287C">
        <w:rPr>
          <w:lang w:val="sr-Latn-CS"/>
        </w:rPr>
        <w:t xml:space="preserve">.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Nalazi ovog monitoringa su dokazali da i dve godine posle donošenja ove uredbe, većina televizija i provajdera programskih usluga i dalje ne poštuje istu.</w:t>
      </w:r>
    </w:p>
    <w:p w:rsidR="00E843CB" w:rsidRPr="00B4287C" w:rsidRDefault="00E843CB" w:rsidP="009D1882">
      <w:pPr>
        <w:jc w:val="both"/>
        <w:rPr>
          <w:lang w:val="sr-Latn-CS"/>
        </w:rPr>
      </w:pPr>
      <w:r w:rsidRPr="00B4287C">
        <w:rPr>
          <w:lang w:val="sr-Latn-CS"/>
        </w:rPr>
        <w:t xml:space="preserve">  </w:t>
      </w:r>
    </w:p>
    <w:p w:rsidR="00E843CB" w:rsidRPr="00B4287C" w:rsidRDefault="00E843CB" w:rsidP="009D1882">
      <w:pPr>
        <w:jc w:val="both"/>
        <w:rPr>
          <w:lang w:val="sr-Latn-CS"/>
        </w:rPr>
      </w:pPr>
      <w:r>
        <w:rPr>
          <w:lang w:val="sr-Latn-CS"/>
        </w:rPr>
        <w:t>Najčešća kršenja su se odnosila na nepravilnu kategorizaciju programskog sadržaja, nepoštovanje vremena za emitovanje te vrste programa i ne postavljanje znaka i prethodnog upozorenja o sadržaju programa, što može negativno uticati na fizički, mentalni, emotivni i moralni razvoj dece i maloletnika</w:t>
      </w:r>
      <w:r w:rsidRPr="00B4287C">
        <w:rPr>
          <w:rStyle w:val="FootnoteReference"/>
          <w:lang w:val="sr-Latn-CS"/>
        </w:rPr>
        <w:footnoteReference w:id="6"/>
      </w:r>
      <w:r w:rsidRPr="00B4287C">
        <w:rPr>
          <w:lang w:val="sr-Latn-CS"/>
        </w:rPr>
        <w:t>.</w:t>
      </w:r>
    </w:p>
    <w:p w:rsidR="00E843CB" w:rsidRPr="00B4287C" w:rsidRDefault="00E843CB" w:rsidP="009D1882">
      <w:pPr>
        <w:jc w:val="both"/>
        <w:rPr>
          <w:lang w:val="sr-Latn-CS"/>
        </w:rPr>
      </w:pPr>
    </w:p>
    <w:p w:rsidR="00E843CB" w:rsidRPr="00B4287C" w:rsidRDefault="00E843CB" w:rsidP="00947121">
      <w:pPr>
        <w:tabs>
          <w:tab w:val="left" w:pos="720"/>
        </w:tabs>
        <w:jc w:val="both"/>
        <w:outlineLvl w:val="2"/>
        <w:rPr>
          <w:b/>
          <w:bCs/>
          <w:i/>
          <w:iCs/>
          <w:lang w:val="sr-Latn-CS"/>
        </w:rPr>
      </w:pPr>
      <w:bookmarkStart w:id="54" w:name="_Toc319311035"/>
      <w:r>
        <w:rPr>
          <w:b/>
          <w:bCs/>
          <w:i/>
          <w:iCs/>
          <w:lang w:val="sr-Latn-CS"/>
        </w:rPr>
        <w:t>Monitoring saglasnosti sa Uredbom o audiovizuelnoj komercijalnoj komunikaciji</w:t>
      </w:r>
      <w:bookmarkEnd w:id="54"/>
    </w:p>
    <w:p w:rsidR="00E843CB" w:rsidRPr="00B4287C" w:rsidRDefault="00E843CB" w:rsidP="009D1882">
      <w:pPr>
        <w:jc w:val="both"/>
        <w:rPr>
          <w:b/>
          <w:bCs/>
          <w:i/>
          <w:iCs/>
          <w:lang w:val="sr-Latn-CS"/>
        </w:rPr>
      </w:pPr>
      <w:r w:rsidRPr="00B4287C">
        <w:rPr>
          <w:b/>
          <w:bCs/>
          <w:i/>
          <w:iCs/>
          <w:lang w:val="sr-Latn-CS"/>
        </w:rPr>
        <w:t xml:space="preserve"> </w:t>
      </w:r>
    </w:p>
    <w:p w:rsidR="00E843CB" w:rsidRPr="00B4287C" w:rsidRDefault="00E843CB" w:rsidP="009D1882">
      <w:pPr>
        <w:jc w:val="both"/>
        <w:rPr>
          <w:lang w:val="sr-Latn-CS"/>
        </w:rPr>
      </w:pPr>
      <w:r>
        <w:rPr>
          <w:lang w:val="sr-Latn-CS"/>
        </w:rPr>
        <w:t>Monitoring saglasnosti sa Uredbom o audiovizuelnoj komercijalnoj komunikaciji je sproveden u periodu juni – juli 2011. godine</w:t>
      </w:r>
      <w:r w:rsidRPr="00B4287C">
        <w:rPr>
          <w:lang w:val="sr-Latn-CS"/>
        </w:rPr>
        <w:t xml:space="preserve">. </w:t>
      </w:r>
      <w:r>
        <w:rPr>
          <w:lang w:val="sr-Latn-CS"/>
        </w:rPr>
        <w:t>U ovaj monitoring su uključene nacionalne televizije, sve televizije regionalnog i lokalnog nivoa, kao i 25 provajdera programskih usluga (PPU) koji emituju komercijalnu komunikaciju</w:t>
      </w:r>
      <w:r w:rsidRPr="00B4287C">
        <w:rPr>
          <w:lang w:val="sr-Latn-CS"/>
        </w:rPr>
        <w:t>.</w:t>
      </w:r>
    </w:p>
    <w:p w:rsidR="00E843CB" w:rsidRPr="00B4287C" w:rsidRDefault="00E843CB" w:rsidP="009D1882">
      <w:pPr>
        <w:jc w:val="both"/>
        <w:rPr>
          <w:lang w:val="sr-Latn-CS"/>
        </w:rPr>
      </w:pPr>
      <w:r w:rsidRPr="00B4287C">
        <w:rPr>
          <w:lang w:val="sr-Latn-CS"/>
        </w:rPr>
        <w:t xml:space="preserve"> </w:t>
      </w:r>
    </w:p>
    <w:p w:rsidR="00E843CB" w:rsidRPr="00B4287C" w:rsidRDefault="00E843CB" w:rsidP="009D1882">
      <w:pPr>
        <w:jc w:val="both"/>
        <w:rPr>
          <w:color w:val="000000"/>
          <w:lang w:val="sr-Latn-CS"/>
        </w:rPr>
      </w:pPr>
      <w:r>
        <w:rPr>
          <w:lang w:val="sr-Latn-CS"/>
        </w:rPr>
        <w:t>Uporedo sa nalazima o količini reklama emitovanih tokom jednog sata programa, praćeno je i plasiranje proizvoda, sponzorstva i televizijska kupovina</w:t>
      </w:r>
      <w:r w:rsidRPr="00B4287C">
        <w:rPr>
          <w:rStyle w:val="FootnoteReference"/>
          <w:color w:val="000000"/>
          <w:lang w:val="sr-Latn-CS"/>
        </w:rPr>
        <w:footnoteReference w:id="7"/>
      </w:r>
      <w:r w:rsidRPr="00B4287C">
        <w:rPr>
          <w:color w:val="000000"/>
          <w:lang w:val="sr-Latn-CS"/>
        </w:rPr>
        <w:t>.</w:t>
      </w:r>
    </w:p>
    <w:p w:rsidR="00E843CB" w:rsidRPr="00B4287C" w:rsidRDefault="00E843CB" w:rsidP="009D1882">
      <w:pPr>
        <w:jc w:val="both"/>
        <w:rPr>
          <w:lang w:val="sr-Latn-CS"/>
        </w:rPr>
      </w:pPr>
      <w:r w:rsidRPr="00B4287C">
        <w:rPr>
          <w:lang w:val="sr-Latn-CS"/>
        </w:rPr>
        <w:t xml:space="preserve">  </w:t>
      </w:r>
    </w:p>
    <w:p w:rsidR="00E843CB" w:rsidRPr="00B4287C" w:rsidRDefault="00E843CB" w:rsidP="00947121">
      <w:pPr>
        <w:jc w:val="both"/>
        <w:outlineLvl w:val="2"/>
        <w:rPr>
          <w:b/>
          <w:bCs/>
          <w:i/>
          <w:iCs/>
          <w:color w:val="000000"/>
          <w:lang w:val="sr-Latn-CS"/>
        </w:rPr>
      </w:pPr>
      <w:bookmarkStart w:id="55" w:name="_Toc319311036"/>
      <w:r>
        <w:rPr>
          <w:b/>
          <w:bCs/>
          <w:i/>
          <w:iCs/>
          <w:lang w:val="sr-Latn-CS"/>
        </w:rPr>
        <w:t>Monitoring programa javnog servisa u vezi sa saglasnošću sa Uredbom o audiovizuelnoj komercijalnoj komunikaciji</w:t>
      </w:r>
      <w:bookmarkEnd w:id="55"/>
    </w:p>
    <w:p w:rsidR="00E843CB" w:rsidRPr="00B4287C" w:rsidRDefault="00E843CB" w:rsidP="009D1882">
      <w:pPr>
        <w:jc w:val="both"/>
        <w:rPr>
          <w:b/>
          <w:bCs/>
          <w:i/>
          <w:iCs/>
          <w:lang w:val="sr-Latn-CS"/>
        </w:rPr>
      </w:pPr>
    </w:p>
    <w:p w:rsidR="00E843CB" w:rsidRPr="00B4287C" w:rsidRDefault="00E843CB" w:rsidP="009D1882">
      <w:pPr>
        <w:jc w:val="both"/>
        <w:rPr>
          <w:lang w:val="sr-Latn-CS"/>
        </w:rPr>
      </w:pPr>
      <w:r w:rsidRPr="006841AC">
        <w:rPr>
          <w:lang w:val="sr-Latn-CS"/>
        </w:rPr>
        <w:t>Uredb</w:t>
      </w:r>
      <w:r>
        <w:rPr>
          <w:lang w:val="sr-Latn-CS"/>
        </w:rPr>
        <w:t>a</w:t>
      </w:r>
      <w:r w:rsidRPr="006841AC">
        <w:rPr>
          <w:lang w:val="sr-Latn-CS"/>
        </w:rPr>
        <w:t xml:space="preserve"> o audiovizuelnoj komercijalnoj komunikaciji</w:t>
      </w:r>
      <w:r w:rsidRPr="00B4287C">
        <w:rPr>
          <w:lang w:val="sr-Latn-CS"/>
        </w:rPr>
        <w:t xml:space="preserve"> </w:t>
      </w:r>
      <w:r>
        <w:rPr>
          <w:lang w:val="sr-Latn-CS"/>
        </w:rPr>
        <w:t>SNKM</w:t>
      </w:r>
      <w:r w:rsidRPr="00B4287C">
        <w:rPr>
          <w:lang w:val="sr-Latn-CS"/>
        </w:rPr>
        <w:t xml:space="preserve"> 2009/04</w:t>
      </w:r>
      <w:r>
        <w:rPr>
          <w:lang w:val="sr-Latn-CS"/>
        </w:rPr>
        <w:t xml:space="preserve">  Radio televiziji Kosova (RTK) određuje količinu i vreme emitovanja audiovizuelne komercijalne komunikacije.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Tačnije, član</w:t>
      </w:r>
      <w:r w:rsidRPr="00B4287C">
        <w:rPr>
          <w:lang w:val="sr-Latn-CS"/>
        </w:rPr>
        <w:t xml:space="preserve"> 15.2 </w:t>
      </w:r>
      <w:r>
        <w:rPr>
          <w:lang w:val="sr-Latn-CS"/>
        </w:rPr>
        <w:t xml:space="preserve">ove Uredbe audiovizuelna komercijalna komunikacija i spotovi televizijske kupovine se na kanalima javnog servisa ne mogu emitovati od </w:t>
      </w:r>
      <w:r w:rsidRPr="00B4287C">
        <w:rPr>
          <w:lang w:val="sr-Latn-CS"/>
        </w:rPr>
        <w:t>07:00 d</w:t>
      </w:r>
      <w:r>
        <w:rPr>
          <w:lang w:val="sr-Latn-CS"/>
        </w:rPr>
        <w:t>o</w:t>
      </w:r>
      <w:r w:rsidRPr="00B4287C">
        <w:rPr>
          <w:lang w:val="sr-Latn-CS"/>
        </w:rPr>
        <w:t xml:space="preserve"> 09:00 </w:t>
      </w:r>
      <w:r>
        <w:rPr>
          <w:lang w:val="sr-Latn-CS"/>
        </w:rPr>
        <w:t xml:space="preserve">i od </w:t>
      </w:r>
      <w:r w:rsidRPr="00B4287C">
        <w:rPr>
          <w:lang w:val="sr-Latn-CS"/>
        </w:rPr>
        <w:t>18:00 d</w:t>
      </w:r>
      <w:r>
        <w:rPr>
          <w:lang w:val="sr-Latn-CS"/>
        </w:rPr>
        <w:t xml:space="preserve">o </w:t>
      </w:r>
      <w:r w:rsidRPr="00B4287C">
        <w:rPr>
          <w:lang w:val="sr-Latn-CS"/>
        </w:rPr>
        <w:t>23:00</w:t>
      </w:r>
      <w:r>
        <w:rPr>
          <w:lang w:val="sr-Latn-CS"/>
        </w:rPr>
        <w:t xml:space="preserve"> sata</w:t>
      </w:r>
      <w:r w:rsidRPr="00B4287C">
        <w:rPr>
          <w:lang w:val="sr-Latn-CS"/>
        </w:rPr>
        <w:t xml:space="preserve">, </w:t>
      </w:r>
      <w:r>
        <w:rPr>
          <w:lang w:val="sr-Latn-CS"/>
        </w:rPr>
        <w:t xml:space="preserve">dok član </w:t>
      </w:r>
      <w:r w:rsidRPr="00B4287C">
        <w:rPr>
          <w:lang w:val="sr-Latn-CS"/>
        </w:rPr>
        <w:t xml:space="preserve">19.1 </w:t>
      </w:r>
      <w:r>
        <w:rPr>
          <w:lang w:val="sr-Latn-CS"/>
        </w:rPr>
        <w:t>javnom servisu zabranjuje plasiranje proizvoda</w:t>
      </w:r>
      <w:r w:rsidRPr="00B4287C">
        <w:rPr>
          <w:lang w:val="sr-Latn-CS"/>
        </w:rPr>
        <w:t xml:space="preserve">. </w:t>
      </w:r>
    </w:p>
    <w:p w:rsidR="00E843CB" w:rsidRPr="00B4287C" w:rsidRDefault="00E843CB" w:rsidP="009D1882">
      <w:pPr>
        <w:jc w:val="both"/>
        <w:rPr>
          <w:lang w:val="sr-Latn-CS"/>
        </w:rPr>
      </w:pPr>
      <w:r w:rsidRPr="00B4287C">
        <w:rPr>
          <w:lang w:val="sr-Latn-CS"/>
        </w:rPr>
        <w:t xml:space="preserve">  </w:t>
      </w:r>
    </w:p>
    <w:p w:rsidR="00E843CB" w:rsidRPr="00B4287C" w:rsidRDefault="00E843CB" w:rsidP="009D1882">
      <w:pPr>
        <w:jc w:val="both"/>
        <w:rPr>
          <w:lang w:val="sr-Latn-CS"/>
        </w:rPr>
      </w:pPr>
      <w:r>
        <w:rPr>
          <w:lang w:val="sr-Latn-CS"/>
        </w:rPr>
        <w:t xml:space="preserve">To je i razlog zbog kojeg Odeljenje za monitoring i analizuje stalno prati saglasnost RTK sa Uredbom o audiovizuelnoj komercijalnog komunikaciji. Nalazi monitoringa pokazuju da javni televizijski servis Kosova i pored obaveštenja o kršenju i upozorenja nastavlja da emituje audiovizuelnu komercijalnu komunikaciju u potpunoj suprotnosti sa </w:t>
      </w:r>
      <w:r w:rsidRPr="006841AC">
        <w:rPr>
          <w:lang w:val="sr-Latn-CS"/>
        </w:rPr>
        <w:t>Uredbom o audiovizuelnoj komercijalnoj komunikaciji</w:t>
      </w:r>
      <w:r w:rsidRPr="00B4287C">
        <w:rPr>
          <w:lang w:val="sr-Latn-CS"/>
        </w:rPr>
        <w:t>.</w:t>
      </w:r>
    </w:p>
    <w:p w:rsidR="00E843CB" w:rsidRPr="00B4287C" w:rsidRDefault="00E843CB" w:rsidP="009D1882">
      <w:pPr>
        <w:jc w:val="both"/>
        <w:rPr>
          <w:lang w:val="sr-Latn-CS"/>
        </w:rPr>
      </w:pPr>
    </w:p>
    <w:p w:rsidR="00E843CB" w:rsidRPr="00B4287C" w:rsidRDefault="00E843CB" w:rsidP="00947121">
      <w:pPr>
        <w:jc w:val="both"/>
        <w:outlineLvl w:val="2"/>
        <w:rPr>
          <w:b/>
          <w:bCs/>
          <w:i/>
          <w:iCs/>
          <w:lang w:val="sr-Latn-CS"/>
        </w:rPr>
      </w:pPr>
      <w:bookmarkStart w:id="56" w:name="_Toc319311037"/>
      <w:r>
        <w:rPr>
          <w:b/>
          <w:bCs/>
          <w:i/>
          <w:iCs/>
          <w:lang w:val="sr-Latn-CS"/>
        </w:rPr>
        <w:t>Televizije nacionalnog pokrića</w:t>
      </w:r>
      <w:r w:rsidRPr="00B4287C">
        <w:rPr>
          <w:b/>
          <w:bCs/>
          <w:i/>
          <w:iCs/>
          <w:lang w:val="sr-Latn-CS"/>
        </w:rPr>
        <w:t xml:space="preserve">: TV 21 </w:t>
      </w:r>
      <w:r>
        <w:rPr>
          <w:b/>
          <w:bCs/>
          <w:i/>
          <w:iCs/>
          <w:lang w:val="sr-Latn-CS"/>
        </w:rPr>
        <w:t>i</w:t>
      </w:r>
      <w:r w:rsidRPr="00B4287C">
        <w:rPr>
          <w:b/>
          <w:bCs/>
          <w:i/>
          <w:iCs/>
          <w:lang w:val="sr-Latn-CS"/>
        </w:rPr>
        <w:t xml:space="preserve"> KTV</w:t>
      </w:r>
      <w:bookmarkEnd w:id="56"/>
      <w:r w:rsidRPr="00B4287C">
        <w:rPr>
          <w:b/>
          <w:bCs/>
          <w:i/>
          <w:iCs/>
          <w:lang w:val="sr-Latn-CS"/>
        </w:rPr>
        <w:t xml:space="preserve">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 xml:space="preserve">Druge dve televizije nacionalnog pokrića </w:t>
      </w:r>
      <w:r w:rsidRPr="00B4287C">
        <w:rPr>
          <w:lang w:val="sr-Latn-CS"/>
        </w:rPr>
        <w:t xml:space="preserve">TV 21 </w:t>
      </w:r>
      <w:r>
        <w:rPr>
          <w:lang w:val="sr-Latn-CS"/>
        </w:rPr>
        <w:t>i</w:t>
      </w:r>
      <w:r w:rsidRPr="00B4287C">
        <w:rPr>
          <w:lang w:val="sr-Latn-CS"/>
        </w:rPr>
        <w:t xml:space="preserve"> KTV</w:t>
      </w:r>
      <w:r>
        <w:rPr>
          <w:lang w:val="sr-Latn-CS"/>
        </w:rPr>
        <w:t xml:space="preserve"> su po utvrđivanju kršenja i prijemu obaveštenja o kršenju i upozorenja NKM usaglasile svoje emitovanje sa </w:t>
      </w:r>
      <w:r w:rsidRPr="004467F6">
        <w:rPr>
          <w:lang w:val="sr-Latn-CS"/>
        </w:rPr>
        <w:t>Uredbom o audiovizuelnoj komercijalnoj komunikaciji</w:t>
      </w:r>
      <w:r w:rsidRPr="00B4287C">
        <w:rPr>
          <w:lang w:val="sr-Latn-CS"/>
        </w:rPr>
        <w:t>.</w:t>
      </w:r>
    </w:p>
    <w:p w:rsidR="00E843CB" w:rsidRPr="00B4287C" w:rsidRDefault="00E843CB" w:rsidP="009D1882">
      <w:pPr>
        <w:jc w:val="both"/>
        <w:rPr>
          <w:i/>
          <w:iCs/>
          <w:lang w:val="sr-Latn-CS"/>
        </w:rPr>
      </w:pPr>
    </w:p>
    <w:p w:rsidR="00E843CB" w:rsidRPr="00B4287C" w:rsidRDefault="00E843CB" w:rsidP="00947121">
      <w:pPr>
        <w:jc w:val="both"/>
        <w:outlineLvl w:val="2"/>
        <w:rPr>
          <w:b/>
          <w:bCs/>
          <w:i/>
          <w:iCs/>
          <w:lang w:val="sr-Latn-CS"/>
        </w:rPr>
      </w:pPr>
      <w:bookmarkStart w:id="57" w:name="_Toc319311038"/>
      <w:r>
        <w:rPr>
          <w:b/>
          <w:bCs/>
          <w:i/>
          <w:iCs/>
          <w:lang w:val="sr-Latn-CS"/>
        </w:rPr>
        <w:t>Regionalne i lokalne televizije i PPU</w:t>
      </w:r>
      <w:bookmarkEnd w:id="57"/>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Monitoring 19 lokalnih televizija i 25 PPU uključenih u ovaj projekat dovodi do nalaza da su ovu uredbu prekršile sledeće televizije</w:t>
      </w:r>
      <w:r w:rsidRPr="00B4287C">
        <w:rPr>
          <w:lang w:val="sr-Latn-CS"/>
        </w:rPr>
        <w:t xml:space="preserve">: TV Festina, TV Men </w:t>
      </w:r>
      <w:r>
        <w:rPr>
          <w:lang w:val="sr-Latn-CS"/>
        </w:rPr>
        <w:t>i</w:t>
      </w:r>
      <w:r w:rsidRPr="00B4287C">
        <w:rPr>
          <w:lang w:val="sr-Latn-CS"/>
        </w:rPr>
        <w:t xml:space="preserve"> TV  Klan Kosova</w:t>
      </w:r>
      <w:r>
        <w:rPr>
          <w:lang w:val="sr-Latn-CS"/>
        </w:rPr>
        <w:t xml:space="preserve">, koje ni posle dobijanja obaveštenja o kršenju, upozorenja i naredbi nisu usaglasile svoje delovanje sa datom Uredbom. </w:t>
      </w:r>
    </w:p>
    <w:p w:rsidR="00E843CB" w:rsidRPr="00B4287C" w:rsidRDefault="00E843CB" w:rsidP="009D1882">
      <w:pPr>
        <w:jc w:val="both"/>
        <w:rPr>
          <w:lang w:val="sr-Latn-CS"/>
        </w:rPr>
      </w:pPr>
      <w:r w:rsidRPr="00B4287C">
        <w:rPr>
          <w:lang w:val="sr-Latn-CS"/>
        </w:rPr>
        <w:t xml:space="preserve"> </w:t>
      </w:r>
    </w:p>
    <w:p w:rsidR="00E843CB" w:rsidRPr="00B4287C" w:rsidRDefault="00E843CB" w:rsidP="005C1852">
      <w:pPr>
        <w:jc w:val="both"/>
        <w:rPr>
          <w:color w:val="000000"/>
          <w:lang w:val="sr-Latn-CS"/>
        </w:rPr>
      </w:pPr>
      <w:r>
        <w:rPr>
          <w:color w:val="000000"/>
          <w:lang w:val="sr-Latn-CS"/>
        </w:rPr>
        <w:t xml:space="preserve">Monitoring saglasnosti sa </w:t>
      </w:r>
      <w:r w:rsidRPr="004467F6">
        <w:rPr>
          <w:lang w:val="sr-Latn-CS"/>
        </w:rPr>
        <w:t>Uredbom o audiovizuelnoj komercijalnoj komunikaciji</w:t>
      </w:r>
      <w:r w:rsidRPr="00B4287C">
        <w:rPr>
          <w:color w:val="000000"/>
          <w:lang w:val="sr-Latn-CS"/>
        </w:rPr>
        <w:t xml:space="preserve"> </w:t>
      </w:r>
      <w:r>
        <w:rPr>
          <w:color w:val="000000"/>
          <w:lang w:val="sr-Latn-CS"/>
        </w:rPr>
        <w:t>je sprovođen tokom čitave godine</w:t>
      </w:r>
      <w:r w:rsidRPr="00B4287C">
        <w:rPr>
          <w:color w:val="000000"/>
          <w:lang w:val="sr-Latn-CS"/>
        </w:rPr>
        <w:t xml:space="preserve">. </w:t>
      </w:r>
    </w:p>
    <w:p w:rsidR="00E843CB" w:rsidRPr="00B4287C" w:rsidRDefault="00E843CB" w:rsidP="005C1852">
      <w:pPr>
        <w:rPr>
          <w:b/>
          <w:bCs/>
          <w:i/>
          <w:iCs/>
          <w:color w:val="000000"/>
          <w:lang w:val="sr-Latn-CS"/>
        </w:rPr>
      </w:pPr>
    </w:p>
    <w:p w:rsidR="00E843CB" w:rsidRPr="00B4287C" w:rsidRDefault="00E843CB" w:rsidP="00947121">
      <w:pPr>
        <w:outlineLvl w:val="2"/>
        <w:rPr>
          <w:b/>
          <w:bCs/>
          <w:i/>
          <w:iCs/>
          <w:color w:val="000000"/>
          <w:lang w:val="sr-Latn-CS"/>
        </w:rPr>
      </w:pPr>
      <w:bookmarkStart w:id="58" w:name="_Toc319311039"/>
      <w:r w:rsidRPr="00B4287C">
        <w:rPr>
          <w:b/>
          <w:bCs/>
          <w:i/>
          <w:iCs/>
          <w:color w:val="000000"/>
          <w:lang w:val="sr-Latn-CS"/>
        </w:rPr>
        <w:t>Monitori</w:t>
      </w:r>
      <w:r>
        <w:rPr>
          <w:b/>
          <w:bCs/>
          <w:i/>
          <w:iCs/>
          <w:color w:val="000000"/>
          <w:lang w:val="sr-Latn-CS"/>
        </w:rPr>
        <w:t>ng saglasnosti sa Uredbom o autorskom pravu</w:t>
      </w:r>
      <w:bookmarkEnd w:id="58"/>
    </w:p>
    <w:p w:rsidR="00E843CB" w:rsidRPr="00B4287C" w:rsidRDefault="00E843CB" w:rsidP="009D1882">
      <w:pPr>
        <w:jc w:val="both"/>
        <w:rPr>
          <w:color w:val="000000"/>
          <w:lang w:val="sr-Latn-CS"/>
        </w:rPr>
      </w:pPr>
    </w:p>
    <w:p w:rsidR="00E843CB" w:rsidRPr="00B4287C" w:rsidRDefault="00E843CB" w:rsidP="009D1882">
      <w:pPr>
        <w:jc w:val="both"/>
        <w:rPr>
          <w:color w:val="000000"/>
          <w:lang w:val="sr-Latn-CS"/>
        </w:rPr>
      </w:pPr>
      <w:r>
        <w:rPr>
          <w:color w:val="000000"/>
          <w:lang w:val="sr-Latn-CS"/>
        </w:rPr>
        <w:t>Procena saglasnosti sa ovom Uredbom pokazuje da je većina audiovizuelnih medijskih servisa počela da sklapa ugovore o autorskom pravu, što pokazuje pozitivan uticaj monitoringa i preporuka NKM o dovođenju u saglasnost sa uslovima i pravilima licence</w:t>
      </w:r>
      <w:r w:rsidRPr="00B4287C">
        <w:rPr>
          <w:color w:val="000000"/>
          <w:lang w:val="sr-Latn-CS"/>
        </w:rPr>
        <w:t xml:space="preserve"> – </w:t>
      </w:r>
      <w:r>
        <w:rPr>
          <w:color w:val="000000"/>
          <w:lang w:val="sr-Latn-CS"/>
        </w:rPr>
        <w:t>poglavljem o autorskim pravima</w:t>
      </w:r>
      <w:r w:rsidRPr="00B4287C">
        <w:rPr>
          <w:color w:val="000000"/>
          <w:lang w:val="sr-Latn-CS"/>
        </w:rPr>
        <w:t>.</w:t>
      </w:r>
    </w:p>
    <w:p w:rsidR="00E843CB" w:rsidRPr="00B4287C" w:rsidRDefault="00E843CB" w:rsidP="009D1882">
      <w:pPr>
        <w:jc w:val="both"/>
        <w:rPr>
          <w:color w:val="000000"/>
          <w:lang w:val="sr-Latn-CS"/>
        </w:rPr>
      </w:pPr>
    </w:p>
    <w:p w:rsidR="00E843CB" w:rsidRPr="00B4287C" w:rsidRDefault="00E843CB" w:rsidP="009D1882">
      <w:pPr>
        <w:jc w:val="both"/>
        <w:rPr>
          <w:color w:val="000000"/>
          <w:highlight w:val="yellow"/>
          <w:lang w:val="sr-Latn-CS"/>
        </w:rPr>
      </w:pPr>
      <w:r w:rsidRPr="00B4287C">
        <w:rPr>
          <w:color w:val="000000"/>
          <w:lang w:val="sr-Latn-CS"/>
        </w:rPr>
        <w:t>Monitori</w:t>
      </w:r>
      <w:r>
        <w:rPr>
          <w:color w:val="000000"/>
          <w:lang w:val="sr-Latn-CS"/>
        </w:rPr>
        <w:t>ng saglasnosti sa autorskim pravom je sprovođen tokom čitave godine. Isti je učešćan u periodu utakmica fudbalskih liga tokom</w:t>
      </w:r>
      <w:r w:rsidRPr="00B4287C">
        <w:rPr>
          <w:rStyle w:val="FootnoteReference"/>
          <w:color w:val="000000"/>
          <w:lang w:val="sr-Latn-CS"/>
        </w:rPr>
        <w:footnoteReference w:id="8"/>
      </w:r>
      <w:r w:rsidRPr="00B4287C">
        <w:rPr>
          <w:color w:val="000000"/>
          <w:lang w:val="sr-Latn-CS"/>
        </w:rPr>
        <w:t>.</w:t>
      </w:r>
    </w:p>
    <w:p w:rsidR="00E843CB" w:rsidRPr="00B4287C" w:rsidRDefault="00E843CB" w:rsidP="009D1882">
      <w:pPr>
        <w:jc w:val="both"/>
        <w:rPr>
          <w:color w:val="000000"/>
          <w:highlight w:val="yellow"/>
          <w:lang w:val="sr-Latn-CS"/>
        </w:rPr>
      </w:pPr>
    </w:p>
    <w:p w:rsidR="00E843CB" w:rsidRPr="00B4287C" w:rsidRDefault="00E843CB" w:rsidP="00947121">
      <w:pPr>
        <w:jc w:val="both"/>
        <w:outlineLvl w:val="2"/>
        <w:rPr>
          <w:b/>
          <w:bCs/>
          <w:i/>
          <w:iCs/>
          <w:color w:val="000000"/>
          <w:lang w:val="sr-Latn-CS"/>
        </w:rPr>
      </w:pPr>
      <w:bookmarkStart w:id="59" w:name="_Toc319311040"/>
      <w:r>
        <w:rPr>
          <w:b/>
          <w:bCs/>
          <w:i/>
          <w:iCs/>
          <w:color w:val="000000"/>
          <w:lang w:val="sr-Latn-CS"/>
        </w:rPr>
        <w:t xml:space="preserve">Saglasnost RTK sa članom </w:t>
      </w:r>
      <w:r w:rsidRPr="00B4287C">
        <w:rPr>
          <w:b/>
          <w:bCs/>
          <w:i/>
          <w:iCs/>
          <w:color w:val="000000"/>
          <w:lang w:val="sr-Latn-CS"/>
        </w:rPr>
        <w:t xml:space="preserve">6.6 </w:t>
      </w:r>
      <w:r>
        <w:rPr>
          <w:b/>
          <w:bCs/>
          <w:i/>
          <w:iCs/>
          <w:color w:val="000000"/>
          <w:lang w:val="sr-Latn-CS"/>
        </w:rPr>
        <w:t>Zakona o RTK</w:t>
      </w:r>
      <w:bookmarkEnd w:id="59"/>
      <w:r w:rsidRPr="00B4287C">
        <w:rPr>
          <w:b/>
          <w:bCs/>
          <w:i/>
          <w:iCs/>
          <w:color w:val="000000"/>
          <w:lang w:val="sr-Latn-CS"/>
        </w:rPr>
        <w:t xml:space="preserve"> </w:t>
      </w:r>
    </w:p>
    <w:p w:rsidR="00E843CB" w:rsidRPr="00B4287C" w:rsidRDefault="00E843CB" w:rsidP="009D1882">
      <w:pPr>
        <w:jc w:val="both"/>
        <w:rPr>
          <w:b/>
          <w:bCs/>
          <w:color w:val="000000"/>
          <w:highlight w:val="yellow"/>
          <w:lang w:val="sr-Latn-CS"/>
        </w:rPr>
      </w:pPr>
    </w:p>
    <w:p w:rsidR="00E843CB" w:rsidRPr="00B4287C" w:rsidRDefault="00E843CB" w:rsidP="009D1882">
      <w:pPr>
        <w:jc w:val="both"/>
        <w:rPr>
          <w:color w:val="000000"/>
          <w:lang w:val="sr-Latn-CS"/>
        </w:rPr>
      </w:pPr>
      <w:r>
        <w:rPr>
          <w:color w:val="000000"/>
          <w:lang w:val="sr-Latn-CS"/>
        </w:rPr>
        <w:t xml:space="preserve">Na osnovu evropskih praksi, obaveze javnih servisa u odnosu na javnost su jasne. Jedna od obaveza RTK koja proizilazi iz člana </w:t>
      </w:r>
      <w:r w:rsidRPr="00B4287C">
        <w:rPr>
          <w:color w:val="000000"/>
          <w:lang w:val="sr-Latn-CS"/>
        </w:rPr>
        <w:t xml:space="preserve">6.6 </w:t>
      </w:r>
      <w:r>
        <w:rPr>
          <w:color w:val="000000"/>
          <w:lang w:val="sr-Latn-CS"/>
        </w:rPr>
        <w:t>Zakona o RTK je emitovanje programa na jezicima manjina</w:t>
      </w:r>
      <w:r w:rsidRPr="00B4287C">
        <w:rPr>
          <w:color w:val="000000"/>
          <w:lang w:val="sr-Latn-CS"/>
        </w:rPr>
        <w:t>.</w:t>
      </w:r>
    </w:p>
    <w:p w:rsidR="00E843CB" w:rsidRPr="00B4287C" w:rsidRDefault="00E843CB" w:rsidP="009D1882">
      <w:pPr>
        <w:jc w:val="both"/>
        <w:rPr>
          <w:color w:val="000000"/>
          <w:lang w:val="sr-Latn-CS"/>
        </w:rPr>
      </w:pPr>
    </w:p>
    <w:p w:rsidR="00E843CB" w:rsidRPr="00B4287C" w:rsidRDefault="00E843CB" w:rsidP="009D1882">
      <w:pPr>
        <w:jc w:val="both"/>
        <w:rPr>
          <w:lang w:val="sr-Latn-CS"/>
        </w:rPr>
      </w:pPr>
      <w:r>
        <w:rPr>
          <w:lang w:val="sr-Latn-CS"/>
        </w:rPr>
        <w:t xml:space="preserve">Član </w:t>
      </w:r>
      <w:r w:rsidRPr="00B4287C">
        <w:rPr>
          <w:lang w:val="sr-Latn-CS"/>
        </w:rPr>
        <w:t xml:space="preserve">6.6 </w:t>
      </w:r>
      <w:r>
        <w:rPr>
          <w:lang w:val="sr-Latn-CS"/>
        </w:rPr>
        <w:t>Zakona o RTK određuje</w:t>
      </w:r>
      <w:r w:rsidRPr="00B4287C">
        <w:rPr>
          <w:lang w:val="sr-Latn-CS"/>
        </w:rPr>
        <w:t>:</w:t>
      </w:r>
    </w:p>
    <w:p w:rsidR="00E843CB" w:rsidRPr="00B4287C" w:rsidRDefault="00E843CB" w:rsidP="009D1882">
      <w:pPr>
        <w:jc w:val="both"/>
        <w:rPr>
          <w:lang w:val="sr-Latn-CS"/>
        </w:rPr>
      </w:pPr>
    </w:p>
    <w:p w:rsidR="00E843CB" w:rsidRPr="00B4287C" w:rsidRDefault="00E843CB" w:rsidP="009D1882">
      <w:pPr>
        <w:jc w:val="both"/>
        <w:rPr>
          <w:lang w:val="sr-Latn-CS"/>
        </w:rPr>
      </w:pPr>
      <w:r w:rsidRPr="00B4287C" w:rsidDel="005D7F47">
        <w:rPr>
          <w:i/>
          <w:iCs/>
          <w:lang w:val="sr-Latn-CS"/>
        </w:rPr>
        <w:t xml:space="preserve"> </w:t>
      </w:r>
      <w:r w:rsidRPr="00B4287C">
        <w:rPr>
          <w:i/>
          <w:iCs/>
          <w:lang w:val="sr-Latn-CS"/>
        </w:rPr>
        <w:t>“RTK</w:t>
      </w:r>
      <w:r>
        <w:rPr>
          <w:i/>
          <w:iCs/>
          <w:lang w:val="sr-Latn-CS"/>
        </w:rPr>
        <w:t xml:space="preserve"> će služiti i pružiti mogućnost izražavanja svim etničkim zajednicama na Kosovu dodeljujući im najmanje 10% budžeta za njihove programe i najmanje 15% programske šeme, uključujući večernji termin za pokrivanje vesti za manjinske zajednice, na proporcionalnom osnovu i odgovarajućem jeziku</w:t>
      </w:r>
      <w:r w:rsidRPr="00B4287C">
        <w:rPr>
          <w:i/>
          <w:iCs/>
          <w:lang w:val="sr-Latn-CS"/>
        </w:rPr>
        <w:t>”</w:t>
      </w:r>
      <w:r w:rsidRPr="00B4287C">
        <w:rPr>
          <w:lang w:val="sr-Latn-CS"/>
        </w:rPr>
        <w:t>.</w:t>
      </w:r>
    </w:p>
    <w:p w:rsidR="00E843CB" w:rsidRPr="00B4287C" w:rsidRDefault="00E843CB" w:rsidP="009D1882">
      <w:pPr>
        <w:jc w:val="both"/>
        <w:rPr>
          <w:lang w:val="sr-Latn-CS"/>
        </w:rPr>
      </w:pPr>
    </w:p>
    <w:p w:rsidR="00E843CB" w:rsidRPr="00B4287C" w:rsidRDefault="00E843CB" w:rsidP="009D1882">
      <w:pPr>
        <w:jc w:val="both"/>
        <w:rPr>
          <w:color w:val="000000"/>
          <w:lang w:val="sr-Latn-CS"/>
        </w:rPr>
      </w:pPr>
      <w:r>
        <w:rPr>
          <w:color w:val="000000"/>
          <w:lang w:val="sr-Latn-CS"/>
        </w:rPr>
        <w:t>Saglasnost javnog servisa Kosova sa Zakonom o RTK, odnosno članom 6.6 ovog zakona, je bio fokus tri jedno-nedeljna monitoringa kojim je praćena količina programa na jezicima manjina emitovanog na RTK (uključujući i Radio Kosova i Radio Blue Sky)</w:t>
      </w:r>
      <w:r w:rsidRPr="00B4287C">
        <w:rPr>
          <w:color w:val="000000"/>
          <w:lang w:val="sr-Latn-CS"/>
        </w:rPr>
        <w:t xml:space="preserve">. </w:t>
      </w:r>
    </w:p>
    <w:p w:rsidR="00E843CB" w:rsidRPr="00B4287C" w:rsidRDefault="00E843CB" w:rsidP="009D1882">
      <w:pPr>
        <w:jc w:val="both"/>
        <w:rPr>
          <w:color w:val="000000"/>
          <w:lang w:val="sr-Latn-CS"/>
        </w:rPr>
      </w:pPr>
    </w:p>
    <w:p w:rsidR="00E843CB" w:rsidRPr="00B4287C" w:rsidRDefault="00E843CB" w:rsidP="009D1882">
      <w:pPr>
        <w:jc w:val="both"/>
        <w:rPr>
          <w:lang w:val="sr-Latn-CS"/>
        </w:rPr>
      </w:pPr>
      <w:r>
        <w:rPr>
          <w:lang w:val="sr-Latn-CS"/>
        </w:rPr>
        <w:t>Monitoring sproveden u periodu 17-23. juni</w:t>
      </w:r>
      <w:r w:rsidRPr="00B4287C">
        <w:rPr>
          <w:lang w:val="sr-Latn-CS"/>
        </w:rPr>
        <w:t xml:space="preserve"> 2011</w:t>
      </w:r>
      <w:r>
        <w:rPr>
          <w:lang w:val="sr-Latn-CS"/>
        </w:rPr>
        <w:t xml:space="preserve">. godine pokazuje da je i pored povećane količine programa za manjine sa </w:t>
      </w:r>
      <w:r w:rsidRPr="00B4287C">
        <w:rPr>
          <w:b/>
          <w:bCs/>
          <w:lang w:val="sr-Latn-CS"/>
        </w:rPr>
        <w:t xml:space="preserve">12.69% </w:t>
      </w:r>
      <w:r>
        <w:rPr>
          <w:b/>
          <w:bCs/>
          <w:lang w:val="sr-Latn-CS"/>
        </w:rPr>
        <w:t>na</w:t>
      </w:r>
      <w:r w:rsidRPr="00B4287C">
        <w:rPr>
          <w:b/>
          <w:bCs/>
          <w:lang w:val="sr-Latn-CS"/>
        </w:rPr>
        <w:t xml:space="preserve"> 13.40%, </w:t>
      </w:r>
      <w:r w:rsidRPr="00B4287C">
        <w:rPr>
          <w:lang w:val="sr-Latn-CS"/>
        </w:rPr>
        <w:t xml:space="preserve">RTK </w:t>
      </w:r>
      <w:r>
        <w:rPr>
          <w:lang w:val="sr-Latn-CS"/>
        </w:rPr>
        <w:t xml:space="preserve">u pomenutom periodu nije delovala u potpunoj saglasnosti sa članom </w:t>
      </w:r>
      <w:r w:rsidRPr="00B4287C">
        <w:rPr>
          <w:lang w:val="sr-Latn-CS"/>
        </w:rPr>
        <w:t xml:space="preserve">6.6 </w:t>
      </w:r>
      <w:r>
        <w:rPr>
          <w:lang w:val="sr-Latn-CS"/>
        </w:rPr>
        <w:t>Zakona o RTK</w:t>
      </w:r>
      <w:r w:rsidRPr="00B4287C">
        <w:rPr>
          <w:lang w:val="sr-Latn-CS"/>
        </w:rPr>
        <w:t>.</w:t>
      </w:r>
    </w:p>
    <w:p w:rsidR="00E843CB" w:rsidRPr="00B4287C" w:rsidRDefault="00E843CB" w:rsidP="009D1882">
      <w:pPr>
        <w:jc w:val="both"/>
        <w:rPr>
          <w:b/>
          <w:bCs/>
          <w:i/>
          <w:iCs/>
          <w:lang w:val="sr-Latn-CS"/>
        </w:rPr>
      </w:pPr>
    </w:p>
    <w:p w:rsidR="00E843CB" w:rsidRPr="00B4287C" w:rsidRDefault="00E843CB" w:rsidP="00947121">
      <w:pPr>
        <w:jc w:val="both"/>
        <w:outlineLvl w:val="2"/>
        <w:rPr>
          <w:b/>
          <w:bCs/>
          <w:i/>
          <w:iCs/>
          <w:lang w:val="sr-Latn-CS"/>
        </w:rPr>
      </w:pPr>
      <w:bookmarkStart w:id="60" w:name="_Toc319311041"/>
      <w:r w:rsidRPr="00B4287C">
        <w:rPr>
          <w:b/>
          <w:bCs/>
          <w:i/>
          <w:iCs/>
          <w:lang w:val="sr-Latn-CS"/>
        </w:rPr>
        <w:t>Monitori</w:t>
      </w:r>
      <w:r>
        <w:rPr>
          <w:b/>
          <w:bCs/>
          <w:i/>
          <w:iCs/>
          <w:lang w:val="sr-Latn-CS"/>
        </w:rPr>
        <w:t>ng saglasnosti audiovizuelnih medijskih servisa sa 3 delom licence NKM</w:t>
      </w:r>
      <w:bookmarkEnd w:id="60"/>
    </w:p>
    <w:p w:rsidR="00E843CB" w:rsidRPr="00B4287C" w:rsidRDefault="00E843CB" w:rsidP="009D1882">
      <w:pPr>
        <w:jc w:val="both"/>
        <w:rPr>
          <w:b/>
          <w:bCs/>
          <w:i/>
          <w:iCs/>
          <w:lang w:val="sr-Latn-CS"/>
        </w:rPr>
      </w:pPr>
    </w:p>
    <w:p w:rsidR="00E843CB" w:rsidRPr="00B4287C" w:rsidRDefault="00E843CB" w:rsidP="009D1882">
      <w:pPr>
        <w:jc w:val="both"/>
        <w:rPr>
          <w:lang w:val="sr-Latn-CS"/>
        </w:rPr>
      </w:pPr>
      <w:r>
        <w:rPr>
          <w:lang w:val="sr-Latn-CS"/>
        </w:rPr>
        <w:t>Odeljenje za monitoring i analizu (OMA) je u periodu septembar – decembar 2011. godine realizovalo procenu saglasnosti audiovizuelnih medijskih servisa sa 3 delom licence NKM</w:t>
      </w:r>
      <w:r w:rsidRPr="00B4287C">
        <w:rPr>
          <w:lang w:val="sr-Latn-CS"/>
        </w:rPr>
        <w:t>,</w:t>
      </w:r>
      <w:r>
        <w:rPr>
          <w:lang w:val="sr-Latn-CS"/>
        </w:rPr>
        <w:t xml:space="preserve"> koja je imala za cilj analizu oblika i strukture nedeljnog programa. To je OMA-u pružilo mogućnost dobijanja jasne slike o saglasnosti elektronskih medija sa šemom programa. </w:t>
      </w:r>
    </w:p>
    <w:p w:rsidR="00E843CB" w:rsidRPr="00B4287C" w:rsidRDefault="00E843CB" w:rsidP="009D1882">
      <w:pPr>
        <w:jc w:val="both"/>
        <w:rPr>
          <w:lang w:val="sr-Latn-CS"/>
        </w:rPr>
      </w:pPr>
      <w:r w:rsidRPr="00B4287C">
        <w:rPr>
          <w:lang w:val="sr-Latn-CS"/>
        </w:rPr>
        <w:t xml:space="preserve"> </w:t>
      </w:r>
    </w:p>
    <w:p w:rsidR="00E843CB" w:rsidRPr="00B4287C" w:rsidRDefault="00E843CB" w:rsidP="009D1882">
      <w:pPr>
        <w:jc w:val="both"/>
        <w:rPr>
          <w:lang w:val="sr-Latn-CS"/>
        </w:rPr>
      </w:pPr>
      <w:r>
        <w:rPr>
          <w:lang w:val="sr-Latn-CS"/>
        </w:rPr>
        <w:t xml:space="preserve">Ovim monitoringom se zaključilo da su, i pored manjih izmena oblika i strukture programa, audiovizuelni medijski servisi u periodu monitoringa delovali u saglasnosti sa 3 delom licence NKM – oblik programa.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Monitoring saglasnosti audiovizuelnih medijskih servisa sa 3 delom licence je takođe doveo do zaključka da su neke lokalne televizije i PPU počeli da konsoliduju svoj program kako bi različitim segmentima svoje publike pružili raznovrsne programe, kao što su: program javnog servisa i zabavni program, isto kao što su i planirali svojim šemama programa</w:t>
      </w:r>
      <w:r w:rsidRPr="00B4287C">
        <w:rPr>
          <w:rStyle w:val="FootnoteReference"/>
          <w:lang w:val="sr-Latn-CS"/>
        </w:rPr>
        <w:footnoteReference w:id="9"/>
      </w:r>
      <w:r w:rsidRPr="00B4287C">
        <w:rPr>
          <w:lang w:val="sr-Latn-CS"/>
        </w:rPr>
        <w:t>.</w:t>
      </w:r>
    </w:p>
    <w:p w:rsidR="00E843CB" w:rsidRPr="00B4287C" w:rsidRDefault="00E843CB" w:rsidP="009D1882">
      <w:pPr>
        <w:jc w:val="both"/>
        <w:rPr>
          <w:lang w:val="sr-Latn-CS"/>
        </w:rPr>
      </w:pPr>
    </w:p>
    <w:p w:rsidR="00E843CB" w:rsidRPr="00B4287C" w:rsidRDefault="00E843CB" w:rsidP="00947121">
      <w:pPr>
        <w:jc w:val="both"/>
        <w:outlineLvl w:val="2"/>
        <w:rPr>
          <w:b/>
          <w:bCs/>
          <w:i/>
          <w:iCs/>
          <w:lang w:val="sr-Latn-CS"/>
        </w:rPr>
      </w:pPr>
      <w:bookmarkStart w:id="61" w:name="_Toc319311042"/>
      <w:r w:rsidRPr="00B4287C">
        <w:rPr>
          <w:b/>
          <w:bCs/>
          <w:i/>
          <w:iCs/>
          <w:lang w:val="sr-Latn-CS"/>
        </w:rPr>
        <w:t>Monitori</w:t>
      </w:r>
      <w:r>
        <w:rPr>
          <w:b/>
          <w:bCs/>
          <w:i/>
          <w:iCs/>
          <w:lang w:val="sr-Latn-CS"/>
        </w:rPr>
        <w:t>ng zasnovan na žalbe</w:t>
      </w:r>
      <w:bookmarkEnd w:id="61"/>
      <w:r>
        <w:rPr>
          <w:b/>
          <w:bCs/>
          <w:i/>
          <w:iCs/>
          <w:lang w:val="sr-Latn-CS"/>
        </w:rPr>
        <w:t xml:space="preserve"> </w:t>
      </w:r>
    </w:p>
    <w:p w:rsidR="00E843CB" w:rsidRPr="00B4287C" w:rsidRDefault="00E843CB" w:rsidP="009D1882">
      <w:pPr>
        <w:jc w:val="both"/>
        <w:rPr>
          <w:b/>
          <w:bCs/>
          <w:i/>
          <w:iCs/>
          <w:lang w:val="sr-Latn-CS"/>
        </w:rPr>
      </w:pPr>
    </w:p>
    <w:p w:rsidR="00E843CB" w:rsidRPr="00B4287C" w:rsidRDefault="00E843CB" w:rsidP="009D1882">
      <w:pPr>
        <w:jc w:val="both"/>
        <w:rPr>
          <w:lang w:val="sr-Latn-CS"/>
        </w:rPr>
      </w:pPr>
      <w:r>
        <w:rPr>
          <w:color w:val="000000"/>
          <w:lang w:val="sr-Latn-CS"/>
        </w:rPr>
        <w:t xml:space="preserve">Po dobijanju žalbi u vezi sa eventualnim kršenjima od strane audiovizuelnih medijskih servisa, OMA je sprovelo detaljne analize i praćenje navodnih sadržaja, nakon čega je dalo preporuke nadležnim odeljenjima. </w:t>
      </w:r>
    </w:p>
    <w:p w:rsidR="00E843CB" w:rsidRPr="00B4287C" w:rsidRDefault="00E843CB" w:rsidP="009D1882">
      <w:pPr>
        <w:jc w:val="both"/>
        <w:rPr>
          <w:color w:val="000000"/>
          <w:lang w:val="sr-Latn-CS"/>
        </w:rPr>
      </w:pPr>
    </w:p>
    <w:p w:rsidR="00E843CB" w:rsidRPr="00B4287C" w:rsidRDefault="00E843CB" w:rsidP="009D1882">
      <w:pPr>
        <w:jc w:val="both"/>
        <w:rPr>
          <w:color w:val="000000"/>
          <w:lang w:val="sr-Latn-CS"/>
        </w:rPr>
      </w:pPr>
      <w:r>
        <w:rPr>
          <w:color w:val="000000"/>
          <w:lang w:val="sr-Latn-CS"/>
        </w:rPr>
        <w:t>Nalazi i preporuke ovog Odeljenja nakon analize žalbi i sprovođenja projekata monitoringa, su ostalim Odeljenjima služile kao osnov za preduzimanje mera.</w:t>
      </w:r>
      <w:r w:rsidRPr="00B4287C">
        <w:rPr>
          <w:color w:val="000000"/>
          <w:lang w:val="sr-Latn-CS"/>
        </w:rPr>
        <w:t>.</w:t>
      </w:r>
    </w:p>
    <w:p w:rsidR="00E843CB" w:rsidRPr="00B4287C" w:rsidRDefault="00E843CB" w:rsidP="009D1882">
      <w:pPr>
        <w:jc w:val="both"/>
        <w:rPr>
          <w:color w:val="000000"/>
          <w:lang w:val="sr-Latn-CS"/>
        </w:rPr>
      </w:pPr>
    </w:p>
    <w:p w:rsidR="00E843CB" w:rsidRPr="00B4287C" w:rsidRDefault="00E843CB" w:rsidP="00947121">
      <w:pPr>
        <w:jc w:val="both"/>
        <w:outlineLvl w:val="2"/>
        <w:rPr>
          <w:b/>
          <w:bCs/>
          <w:i/>
          <w:iCs/>
          <w:color w:val="000000"/>
          <w:lang w:val="sr-Latn-CS"/>
        </w:rPr>
      </w:pPr>
      <w:bookmarkStart w:id="62" w:name="_Toc319311043"/>
      <w:r>
        <w:rPr>
          <w:b/>
          <w:bCs/>
          <w:i/>
          <w:iCs/>
          <w:color w:val="000000"/>
          <w:lang w:val="sr-Latn-CS"/>
        </w:rPr>
        <w:t>Posete/inspekcija audiovizuelnih medijskih servisa</w:t>
      </w:r>
      <w:bookmarkEnd w:id="62"/>
    </w:p>
    <w:p w:rsidR="00E843CB" w:rsidRPr="00B4287C" w:rsidRDefault="00E843CB" w:rsidP="009D1882">
      <w:pPr>
        <w:jc w:val="both"/>
        <w:rPr>
          <w:b/>
          <w:bCs/>
          <w:i/>
          <w:iCs/>
          <w:color w:val="000000"/>
          <w:lang w:val="sr-Latn-CS"/>
        </w:rPr>
      </w:pPr>
    </w:p>
    <w:p w:rsidR="00E843CB" w:rsidRPr="00B4287C" w:rsidRDefault="00E843CB" w:rsidP="009D1882">
      <w:pPr>
        <w:jc w:val="both"/>
        <w:rPr>
          <w:lang w:val="sr-Latn-CS"/>
        </w:rPr>
      </w:pPr>
      <w:r>
        <w:rPr>
          <w:lang w:val="sr-Latn-CS"/>
        </w:rPr>
        <w:t xml:space="preserve">Osoblje Odeljenja za praćenje i analizu je vršilo posete i inspekciju svih radio i televizijskih stanica, provajdera programskih usluga i kablovskih operatora koji su licencirani od strane NKM.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 xml:space="preserve">Važno je istaći da su posete audiovizuelnih medijskih servisa odlično prihvaćene i ocenjene kao veoma korisne. Tokom tih poseta je diskutovano o brojim pitanjima od interesa za audiovizuelne medijske servise, kao i onih od interesa za obe strane. </w:t>
      </w:r>
    </w:p>
    <w:p w:rsidR="00E843CB" w:rsidRPr="00B4287C" w:rsidRDefault="00E843CB" w:rsidP="006740F1">
      <w:pPr>
        <w:jc w:val="both"/>
        <w:rPr>
          <w:b/>
          <w:bCs/>
          <w:color w:val="000000"/>
          <w:lang w:val="sr-Latn-CS"/>
        </w:rPr>
      </w:pPr>
    </w:p>
    <w:p w:rsidR="00E843CB" w:rsidRPr="00B4287C" w:rsidRDefault="00E843CB" w:rsidP="006740F1">
      <w:pPr>
        <w:jc w:val="both"/>
        <w:rPr>
          <w:b/>
          <w:bCs/>
          <w:color w:val="000000"/>
          <w:lang w:val="sr-Latn-CS"/>
        </w:rPr>
      </w:pPr>
    </w:p>
    <w:p w:rsidR="00E843CB" w:rsidRPr="00B4287C" w:rsidRDefault="00E843CB" w:rsidP="00947121">
      <w:pPr>
        <w:pStyle w:val="spip"/>
        <w:spacing w:before="0" w:beforeAutospacing="0" w:after="0" w:afterAutospacing="0"/>
        <w:jc w:val="center"/>
        <w:outlineLvl w:val="1"/>
        <w:rPr>
          <w:b/>
          <w:bCs/>
          <w:color w:val="000000"/>
          <w:sz w:val="28"/>
          <w:szCs w:val="28"/>
          <w:lang w:val="sr-Latn-CS"/>
        </w:rPr>
      </w:pPr>
      <w:bookmarkStart w:id="63" w:name="_Toc319311044"/>
      <w:r>
        <w:rPr>
          <w:b/>
          <w:bCs/>
          <w:color w:val="000000"/>
          <w:sz w:val="28"/>
          <w:szCs w:val="28"/>
          <w:lang w:val="sr-Latn-CS"/>
        </w:rPr>
        <w:t>ODELJENJE ZA LICENCIRANJE</w:t>
      </w:r>
      <w:bookmarkEnd w:id="63"/>
      <w:r>
        <w:rPr>
          <w:b/>
          <w:bCs/>
          <w:color w:val="000000"/>
          <w:sz w:val="28"/>
          <w:szCs w:val="28"/>
          <w:lang w:val="sr-Latn-CS"/>
        </w:rPr>
        <w:t xml:space="preserve">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Odeljenje za licenciranje je tokom 2011. godine</w:t>
      </w:r>
      <w:r w:rsidRPr="00B4287C">
        <w:rPr>
          <w:lang w:val="sr-Latn-CS"/>
        </w:rPr>
        <w:t xml:space="preserve"> </w:t>
      </w:r>
      <w:r>
        <w:rPr>
          <w:lang w:val="sr-Latn-CS"/>
        </w:rPr>
        <w:t>registrovalo 32 slučaja: zahtevi za licenciranje PPU, zahtevi za televizijske kanale, zahtevi za radio frekvencije, žalbe zbog ometanja frekvencija, zahtevi za promenu zone pokrića, zahtevi za promenu lokacije emitovanja, obaveštenja o prekidu emitovanja, itd</w:t>
      </w:r>
      <w:r w:rsidRPr="00B4287C">
        <w:rPr>
          <w:lang w:val="sr-Latn-CS"/>
        </w:rPr>
        <w:t>.</w:t>
      </w:r>
    </w:p>
    <w:p w:rsidR="00E843CB" w:rsidRPr="00B4287C" w:rsidRDefault="00E843CB" w:rsidP="009D1882">
      <w:pPr>
        <w:jc w:val="both"/>
        <w:rPr>
          <w:lang w:val="sr-Latn-CS"/>
        </w:rPr>
      </w:pPr>
    </w:p>
    <w:p w:rsidR="00E843CB" w:rsidRPr="00E171D6" w:rsidRDefault="00E843CB" w:rsidP="00E171D6">
      <w:pPr>
        <w:pStyle w:val="NoSpacing"/>
        <w:numPr>
          <w:ilvl w:val="0"/>
          <w:numId w:val="25"/>
        </w:numPr>
        <w:rPr>
          <w:i/>
          <w:iCs/>
          <w:lang w:val="sr-Latn-CS"/>
        </w:rPr>
      </w:pPr>
      <w:r w:rsidRPr="00E171D6">
        <w:rPr>
          <w:i/>
          <w:iCs/>
          <w:lang w:val="sr-Latn-CS"/>
        </w:rPr>
        <w:t>7 zahteva za radio frekvencije;</w:t>
      </w:r>
    </w:p>
    <w:p w:rsidR="00E843CB" w:rsidRPr="00E171D6" w:rsidRDefault="00E843CB" w:rsidP="00E171D6">
      <w:pPr>
        <w:pStyle w:val="NoSpacing"/>
        <w:numPr>
          <w:ilvl w:val="0"/>
          <w:numId w:val="25"/>
        </w:numPr>
        <w:rPr>
          <w:i/>
          <w:iCs/>
          <w:lang w:val="sr-Latn-CS"/>
        </w:rPr>
      </w:pPr>
      <w:r w:rsidRPr="00E171D6">
        <w:rPr>
          <w:i/>
          <w:iCs/>
          <w:lang w:val="sr-Latn-CS"/>
        </w:rPr>
        <w:t xml:space="preserve">2 zahteva za TV kanale; </w:t>
      </w:r>
    </w:p>
    <w:p w:rsidR="00E843CB" w:rsidRDefault="00E843CB" w:rsidP="00E171D6">
      <w:pPr>
        <w:pStyle w:val="NoSpacing"/>
        <w:numPr>
          <w:ilvl w:val="0"/>
          <w:numId w:val="25"/>
        </w:numPr>
        <w:rPr>
          <w:lang w:val="sr-Latn-CS"/>
        </w:rPr>
      </w:pPr>
      <w:r w:rsidRPr="00E171D6">
        <w:rPr>
          <w:i/>
          <w:iCs/>
          <w:lang w:val="sr-Latn-CS"/>
        </w:rPr>
        <w:t>8 zahteva za licenciranje PPU;</w:t>
      </w:r>
      <w:r w:rsidRPr="00E171D6">
        <w:rPr>
          <w:lang w:val="sr-Latn-CS"/>
        </w:rPr>
        <w:t xml:space="preserve"> </w:t>
      </w:r>
    </w:p>
    <w:p w:rsidR="00E843CB" w:rsidRDefault="00E843CB" w:rsidP="00E171D6">
      <w:pPr>
        <w:pStyle w:val="NoSpacing"/>
        <w:numPr>
          <w:ilvl w:val="0"/>
          <w:numId w:val="25"/>
        </w:numPr>
        <w:rPr>
          <w:lang w:val="sr-Latn-CS"/>
        </w:rPr>
      </w:pPr>
      <w:r w:rsidRPr="00E171D6">
        <w:rPr>
          <w:i/>
          <w:iCs/>
          <w:lang w:val="sr-Latn-CS"/>
        </w:rPr>
        <w:t>zahtev za licenciranje kablovskih operatora;</w:t>
      </w:r>
      <w:r w:rsidRPr="00E171D6">
        <w:rPr>
          <w:lang w:val="sr-Latn-CS"/>
        </w:rPr>
        <w:t xml:space="preserve"> </w:t>
      </w:r>
    </w:p>
    <w:p w:rsidR="00E843CB" w:rsidRDefault="00E843CB" w:rsidP="00E171D6">
      <w:pPr>
        <w:pStyle w:val="NoSpacing"/>
        <w:numPr>
          <w:ilvl w:val="0"/>
          <w:numId w:val="25"/>
        </w:numPr>
        <w:rPr>
          <w:lang w:val="sr-Latn-CS"/>
        </w:rPr>
      </w:pPr>
      <w:r w:rsidRPr="00E171D6">
        <w:rPr>
          <w:i/>
          <w:iCs/>
          <w:lang w:val="sr-Latn-CS"/>
        </w:rPr>
        <w:t>zahtev za IPTV</w:t>
      </w:r>
      <w:r w:rsidRPr="00E171D6">
        <w:rPr>
          <w:lang w:val="sr-Latn-CS"/>
        </w:rPr>
        <w:t>;</w:t>
      </w:r>
    </w:p>
    <w:p w:rsidR="00E843CB" w:rsidRDefault="00E843CB" w:rsidP="00E171D6">
      <w:pPr>
        <w:pStyle w:val="NoSpacing"/>
        <w:numPr>
          <w:ilvl w:val="0"/>
          <w:numId w:val="25"/>
        </w:numPr>
        <w:rPr>
          <w:lang w:val="sr-Latn-CS"/>
        </w:rPr>
      </w:pPr>
      <w:r>
        <w:rPr>
          <w:i/>
          <w:iCs/>
          <w:lang w:val="sr-Latn-CS"/>
        </w:rPr>
        <w:t>zahtev za prenošenje signala programa KO preko „Wireless“-a</w:t>
      </w:r>
      <w:r w:rsidRPr="00E171D6">
        <w:rPr>
          <w:lang w:val="sr-Latn-CS"/>
        </w:rPr>
        <w:t>;</w:t>
      </w:r>
    </w:p>
    <w:p w:rsidR="00E843CB" w:rsidRDefault="00E843CB" w:rsidP="00E171D6">
      <w:pPr>
        <w:pStyle w:val="NoSpacing"/>
        <w:numPr>
          <w:ilvl w:val="0"/>
          <w:numId w:val="25"/>
        </w:numPr>
        <w:rPr>
          <w:lang w:val="sr-Latn-CS"/>
        </w:rPr>
      </w:pPr>
      <w:r>
        <w:rPr>
          <w:i/>
          <w:iCs/>
          <w:lang w:val="sr-Latn-CS"/>
        </w:rPr>
        <w:t>zahtev za proširenje zone pokrića</w:t>
      </w:r>
      <w:r w:rsidRPr="00E171D6">
        <w:rPr>
          <w:i/>
          <w:iCs/>
          <w:lang w:val="sr-Latn-CS"/>
        </w:rPr>
        <w:t>;</w:t>
      </w:r>
      <w:r w:rsidRPr="00E171D6">
        <w:rPr>
          <w:lang w:val="sr-Latn-CS"/>
        </w:rPr>
        <w:t xml:space="preserve"> </w:t>
      </w:r>
    </w:p>
    <w:p w:rsidR="00E843CB" w:rsidRDefault="00E843CB" w:rsidP="00E171D6">
      <w:pPr>
        <w:pStyle w:val="NoSpacing"/>
        <w:numPr>
          <w:ilvl w:val="0"/>
          <w:numId w:val="25"/>
        </w:numPr>
        <w:rPr>
          <w:lang w:val="sr-Latn-CS"/>
        </w:rPr>
      </w:pPr>
      <w:r w:rsidRPr="00E171D6">
        <w:rPr>
          <w:i/>
          <w:iCs/>
          <w:lang w:val="sr-Latn-CS"/>
        </w:rPr>
        <w:t>zahtev za promenu lokacije emitovanja;zahtev za promenu imena PPU;</w:t>
      </w:r>
    </w:p>
    <w:p w:rsidR="00E843CB" w:rsidRDefault="00E843CB" w:rsidP="00E171D6">
      <w:pPr>
        <w:pStyle w:val="NoSpacing"/>
        <w:numPr>
          <w:ilvl w:val="0"/>
          <w:numId w:val="25"/>
        </w:numPr>
        <w:rPr>
          <w:lang w:val="sr-Latn-CS"/>
        </w:rPr>
      </w:pPr>
      <w:r w:rsidRPr="00E171D6">
        <w:rPr>
          <w:i/>
          <w:iCs/>
          <w:lang w:val="sr-Latn-CS"/>
        </w:rPr>
        <w:t>obaveštenje o ilegalnom emitovanju;</w:t>
      </w:r>
    </w:p>
    <w:p w:rsidR="00E843CB" w:rsidRDefault="00E843CB" w:rsidP="00E171D6">
      <w:pPr>
        <w:pStyle w:val="NoSpacing"/>
        <w:numPr>
          <w:ilvl w:val="0"/>
          <w:numId w:val="25"/>
        </w:numPr>
        <w:rPr>
          <w:lang w:val="sr-Latn-CS"/>
        </w:rPr>
      </w:pPr>
      <w:r w:rsidRPr="00E171D6">
        <w:rPr>
          <w:i/>
          <w:iCs/>
          <w:lang w:val="sr-Latn-CS"/>
        </w:rPr>
        <w:t xml:space="preserve">obaveštenje o </w:t>
      </w:r>
      <w:r>
        <w:rPr>
          <w:i/>
          <w:iCs/>
          <w:lang w:val="sr-Latn-CS"/>
        </w:rPr>
        <w:t>odustajanju (</w:t>
      </w:r>
      <w:r w:rsidRPr="00E171D6">
        <w:rPr>
          <w:i/>
          <w:iCs/>
          <w:lang w:val="sr-Latn-CS"/>
        </w:rPr>
        <w:t>vraćanju</w:t>
      </w:r>
      <w:r>
        <w:rPr>
          <w:i/>
          <w:iCs/>
          <w:lang w:val="sr-Latn-CS"/>
        </w:rPr>
        <w:t>)</w:t>
      </w:r>
      <w:r w:rsidRPr="00E171D6">
        <w:rPr>
          <w:i/>
          <w:iCs/>
          <w:lang w:val="sr-Latn-CS"/>
        </w:rPr>
        <w:t xml:space="preserve"> licence</w:t>
      </w:r>
      <w:r>
        <w:rPr>
          <w:i/>
          <w:iCs/>
          <w:lang w:val="sr-Latn-CS"/>
        </w:rPr>
        <w:t>;</w:t>
      </w:r>
    </w:p>
    <w:p w:rsidR="00E843CB" w:rsidRDefault="00E843CB" w:rsidP="00E171D6">
      <w:pPr>
        <w:pStyle w:val="NoSpacing"/>
        <w:numPr>
          <w:ilvl w:val="0"/>
          <w:numId w:val="25"/>
        </w:numPr>
        <w:rPr>
          <w:lang w:val="sr-Latn-CS"/>
        </w:rPr>
      </w:pPr>
      <w:r w:rsidRPr="00E171D6">
        <w:rPr>
          <w:i/>
          <w:iCs/>
          <w:lang w:val="sr-Latn-CS"/>
        </w:rPr>
        <w:t>obaveštenje o prekidu emitovanja;</w:t>
      </w:r>
    </w:p>
    <w:p w:rsidR="00E843CB" w:rsidRPr="00E171D6" w:rsidRDefault="00E843CB" w:rsidP="00E171D6">
      <w:pPr>
        <w:pStyle w:val="NoSpacing"/>
        <w:numPr>
          <w:ilvl w:val="0"/>
          <w:numId w:val="25"/>
        </w:numPr>
        <w:rPr>
          <w:lang w:val="sr-Latn-CS"/>
        </w:rPr>
      </w:pPr>
      <w:r w:rsidRPr="00AF4712">
        <w:rPr>
          <w:i/>
          <w:iCs/>
          <w:lang w:val="sr-Latn-CS"/>
        </w:rPr>
        <w:t>žalba o ometanju frekvencija emitovanja</w:t>
      </w:r>
      <w:r w:rsidRPr="00E171D6">
        <w:rPr>
          <w:i/>
          <w:iCs/>
          <w:lang w:val="sr-Latn-CS"/>
        </w:rPr>
        <w:t>.</w:t>
      </w:r>
      <w:r w:rsidRPr="00E171D6">
        <w:rPr>
          <w:lang w:val="sr-Latn-CS"/>
        </w:rPr>
        <w:t xml:space="preserve"> </w:t>
      </w:r>
    </w:p>
    <w:p w:rsidR="00E843CB" w:rsidRPr="00B4287C" w:rsidRDefault="00E843CB" w:rsidP="009D1882">
      <w:pPr>
        <w:jc w:val="both"/>
        <w:rPr>
          <w:lang w:val="sr-Latn-CS"/>
        </w:rPr>
      </w:pPr>
    </w:p>
    <w:p w:rsidR="00E843CB" w:rsidRPr="00B4287C" w:rsidRDefault="00E843CB" w:rsidP="009D1882">
      <w:pPr>
        <w:jc w:val="both"/>
        <w:rPr>
          <w:lang w:val="sr-Latn-CS"/>
        </w:rPr>
      </w:pPr>
      <w:r>
        <w:rPr>
          <w:lang w:val="sr-Latn-CS"/>
        </w:rPr>
        <w:t>Ovi zahtevi nisu procesirani zbog nepotpunosti Saveta NKM koji ih treba razmotriti</w:t>
      </w:r>
      <w:r w:rsidRPr="00B4287C">
        <w:rPr>
          <w:lang w:val="sr-Latn-CS"/>
        </w:rPr>
        <w:t>.</w:t>
      </w:r>
    </w:p>
    <w:p w:rsidR="00E843CB" w:rsidRPr="00B4287C" w:rsidRDefault="00E843CB" w:rsidP="00947121">
      <w:pPr>
        <w:pStyle w:val="spip"/>
        <w:jc w:val="both"/>
        <w:outlineLvl w:val="2"/>
        <w:rPr>
          <w:b/>
          <w:bCs/>
          <w:i/>
          <w:iCs/>
          <w:lang w:val="sr-Latn-CS"/>
        </w:rPr>
      </w:pPr>
      <w:bookmarkStart w:id="64" w:name="_Toc319311045"/>
      <w:r>
        <w:rPr>
          <w:b/>
          <w:bCs/>
          <w:i/>
          <w:iCs/>
          <w:lang w:val="sr-Latn-CS"/>
        </w:rPr>
        <w:t>Obaveštenje o plaćanju takse za licencu</w:t>
      </w:r>
      <w:bookmarkEnd w:id="64"/>
    </w:p>
    <w:p w:rsidR="00E843CB" w:rsidRPr="00B4287C" w:rsidRDefault="00E843CB" w:rsidP="009D1882">
      <w:pPr>
        <w:pStyle w:val="spip"/>
        <w:jc w:val="both"/>
        <w:rPr>
          <w:lang w:val="sr-Latn-CS"/>
        </w:rPr>
      </w:pPr>
      <w:r>
        <w:rPr>
          <w:lang w:val="sr-Latn-CS"/>
        </w:rPr>
        <w:t>Odeljenje za licenciranje je tokom 2011. godine</w:t>
      </w:r>
      <w:r w:rsidRPr="00B4287C">
        <w:rPr>
          <w:lang w:val="sr-Latn-CS"/>
        </w:rPr>
        <w:t xml:space="preserve"> </w:t>
      </w:r>
      <w:r>
        <w:rPr>
          <w:lang w:val="sr-Latn-CS"/>
        </w:rPr>
        <w:t xml:space="preserve">je svim elektronskim medijima poslalo pismeni dopis u vezi sa rokom za plaćanje takse na licencu, naglašavajući i iznos koji se treba platiti. </w:t>
      </w:r>
    </w:p>
    <w:p w:rsidR="00E843CB" w:rsidRPr="00B4287C" w:rsidRDefault="00E843CB" w:rsidP="00BE3680">
      <w:pPr>
        <w:outlineLvl w:val="0"/>
        <w:rPr>
          <w:b/>
          <w:bCs/>
          <w:color w:val="000000"/>
          <w:lang w:val="sr-Latn-CS"/>
        </w:rPr>
      </w:pPr>
      <w:bookmarkStart w:id="65" w:name="_Toc318275287"/>
      <w:bookmarkStart w:id="66" w:name="_Toc319311046"/>
      <w:r>
        <w:rPr>
          <w:lang w:val="sr-Latn-CS"/>
        </w:rPr>
        <w:t>Tokom 2011. godine su zbog finansijskih problema od dozvole NKM su odustala 2 elektronska medija i 1 provajder programskih usluga</w:t>
      </w:r>
      <w:r w:rsidRPr="00B4287C">
        <w:rPr>
          <w:lang w:val="sr-Latn-CS"/>
        </w:rPr>
        <w:t>.</w:t>
      </w:r>
      <w:bookmarkStart w:id="67" w:name="_Toc223318274"/>
      <w:bookmarkStart w:id="68" w:name="OLE_LINK3"/>
      <w:bookmarkEnd w:id="65"/>
      <w:bookmarkEnd w:id="66"/>
    </w:p>
    <w:p w:rsidR="00E843CB" w:rsidRPr="00B4287C" w:rsidRDefault="00E843CB" w:rsidP="00126BC8">
      <w:pPr>
        <w:jc w:val="center"/>
        <w:outlineLvl w:val="0"/>
        <w:rPr>
          <w:b/>
          <w:bCs/>
          <w:color w:val="000000"/>
          <w:lang w:val="sr-Latn-CS"/>
        </w:rPr>
      </w:pPr>
    </w:p>
    <w:p w:rsidR="00E843CB" w:rsidRPr="00B4287C" w:rsidRDefault="00E843CB" w:rsidP="00126BC8">
      <w:pPr>
        <w:jc w:val="center"/>
        <w:outlineLvl w:val="0"/>
        <w:rPr>
          <w:b/>
          <w:bCs/>
          <w:color w:val="000000"/>
          <w:lang w:val="sr-Latn-CS"/>
        </w:rPr>
      </w:pPr>
    </w:p>
    <w:p w:rsidR="00E843CB" w:rsidRDefault="00E843CB" w:rsidP="00AF4712">
      <w:pPr>
        <w:jc w:val="center"/>
        <w:outlineLvl w:val="1"/>
        <w:rPr>
          <w:b/>
          <w:bCs/>
          <w:color w:val="000000"/>
          <w:sz w:val="28"/>
          <w:szCs w:val="28"/>
          <w:lang w:val="sr-Latn-CS"/>
        </w:rPr>
      </w:pPr>
      <w:bookmarkStart w:id="69" w:name="_Toc319311047"/>
      <w:bookmarkStart w:id="70" w:name="_Toc318275288"/>
      <w:r>
        <w:rPr>
          <w:b/>
          <w:bCs/>
          <w:color w:val="000000"/>
          <w:sz w:val="28"/>
          <w:szCs w:val="28"/>
          <w:lang w:val="sr-Latn-CS"/>
        </w:rPr>
        <w:t>PRAVNO ODELJENJE</w:t>
      </w:r>
      <w:bookmarkEnd w:id="69"/>
      <w:r>
        <w:rPr>
          <w:b/>
          <w:bCs/>
          <w:color w:val="000000"/>
          <w:sz w:val="28"/>
          <w:szCs w:val="28"/>
          <w:lang w:val="sr-Latn-CS"/>
        </w:rPr>
        <w:t xml:space="preserve"> </w:t>
      </w:r>
      <w:bookmarkEnd w:id="70"/>
    </w:p>
    <w:p w:rsidR="00E843CB" w:rsidRPr="00B4287C" w:rsidRDefault="00E843CB" w:rsidP="00AF4712">
      <w:pPr>
        <w:jc w:val="center"/>
        <w:outlineLvl w:val="1"/>
        <w:rPr>
          <w:b/>
          <w:bCs/>
          <w:color w:val="000000"/>
          <w:lang w:val="sr-Latn-CS"/>
        </w:rPr>
      </w:pPr>
    </w:p>
    <w:p w:rsidR="00E843CB" w:rsidRPr="00B4287C" w:rsidRDefault="00E843CB" w:rsidP="00126BC8">
      <w:pPr>
        <w:jc w:val="both"/>
        <w:outlineLvl w:val="0"/>
        <w:rPr>
          <w:color w:val="000000"/>
          <w:lang w:val="sr-Latn-CS"/>
        </w:rPr>
      </w:pPr>
      <w:bookmarkStart w:id="71" w:name="_Toc319311048"/>
      <w:bookmarkStart w:id="72" w:name="_Toc318275289"/>
      <w:r>
        <w:rPr>
          <w:color w:val="000000"/>
          <w:lang w:val="sr-Latn-CS"/>
        </w:rPr>
        <w:t>Pravno odeljenje je tokom</w:t>
      </w:r>
      <w:r w:rsidRPr="00B4287C">
        <w:rPr>
          <w:color w:val="000000"/>
          <w:lang w:val="sr-Latn-CS"/>
        </w:rPr>
        <w:t xml:space="preserve"> 2011</w:t>
      </w:r>
      <w:r>
        <w:rPr>
          <w:color w:val="000000"/>
          <w:lang w:val="sr-Latn-CS"/>
        </w:rPr>
        <w:t>. godine</w:t>
      </w:r>
      <w:r w:rsidRPr="00B4287C">
        <w:rPr>
          <w:color w:val="000000"/>
          <w:lang w:val="sr-Latn-CS"/>
        </w:rPr>
        <w:t xml:space="preserve"> </w:t>
      </w:r>
      <w:r>
        <w:rPr>
          <w:color w:val="000000"/>
          <w:lang w:val="sr-Latn-CS"/>
        </w:rPr>
        <w:t xml:space="preserve">razmatralo različite predmete elektronskih medija, provajdera programskih usluga i kablovskih operatora u vezi sa kršenjem odredbi Zakona </w:t>
      </w:r>
      <w:r w:rsidRPr="00B4287C">
        <w:rPr>
          <w:color w:val="000000"/>
          <w:lang w:val="sr-Latn-CS"/>
        </w:rPr>
        <w:t xml:space="preserve">02/L-15 </w:t>
      </w:r>
      <w:r>
        <w:rPr>
          <w:color w:val="000000"/>
          <w:lang w:val="sr-Latn-CS"/>
        </w:rPr>
        <w:t>o Nezavisnoj komisiji za medije i radiodifuziju i ostalih podzakonskih akata NKM. Takođe su razmatrane i žalbe protiv elektronskih medija koje su NKM uputila fizička lica i različite organizacije.</w:t>
      </w:r>
      <w:bookmarkEnd w:id="71"/>
      <w:r>
        <w:rPr>
          <w:color w:val="000000"/>
          <w:lang w:val="sr-Latn-CS"/>
        </w:rPr>
        <w:t xml:space="preserve"> </w:t>
      </w:r>
      <w:bookmarkEnd w:id="72"/>
    </w:p>
    <w:p w:rsidR="00E843CB" w:rsidRPr="00B4287C" w:rsidRDefault="00E843CB" w:rsidP="00126BC8">
      <w:pPr>
        <w:jc w:val="center"/>
        <w:rPr>
          <w:color w:val="000000"/>
          <w:lang w:val="sr-Latn-CS"/>
        </w:rPr>
      </w:pPr>
    </w:p>
    <w:p w:rsidR="00E843CB" w:rsidRPr="00B4287C" w:rsidRDefault="00E843CB" w:rsidP="00947121">
      <w:pPr>
        <w:numPr>
          <w:ilvl w:val="0"/>
          <w:numId w:val="2"/>
        </w:numPr>
        <w:jc w:val="both"/>
        <w:outlineLvl w:val="2"/>
        <w:rPr>
          <w:b/>
          <w:bCs/>
          <w:i/>
          <w:iCs/>
          <w:color w:val="000000"/>
          <w:lang w:val="sr-Latn-CS"/>
        </w:rPr>
      </w:pPr>
      <w:bookmarkStart w:id="73" w:name="_Toc319311049"/>
      <w:r>
        <w:rPr>
          <w:b/>
          <w:bCs/>
          <w:i/>
          <w:iCs/>
          <w:color w:val="000000"/>
          <w:lang w:val="sr-Latn-CS"/>
        </w:rPr>
        <w:t>Predmeti ilegalnog emitovanja</w:t>
      </w:r>
      <w:bookmarkEnd w:id="73"/>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Tokom 2011. godine</w:t>
      </w:r>
      <w:r w:rsidRPr="00B4287C">
        <w:rPr>
          <w:color w:val="000000"/>
          <w:lang w:val="sr-Latn-CS"/>
        </w:rPr>
        <w:t xml:space="preserve"> </w:t>
      </w:r>
      <w:r>
        <w:rPr>
          <w:color w:val="000000"/>
          <w:lang w:val="sr-Latn-CS"/>
        </w:rPr>
        <w:t xml:space="preserve">su procesirana četiri (4) predmeta kršenja člana </w:t>
      </w:r>
      <w:r w:rsidRPr="00B4287C">
        <w:rPr>
          <w:color w:val="000000"/>
          <w:lang w:val="sr-Latn-CS"/>
        </w:rPr>
        <w:t xml:space="preserve">11.1 </w:t>
      </w:r>
      <w:r>
        <w:rPr>
          <w:color w:val="000000"/>
          <w:lang w:val="sr-Latn-CS"/>
        </w:rPr>
        <w:t>Zakona o NKM koji određuje</w:t>
      </w:r>
      <w:r w:rsidRPr="00B4287C">
        <w:rPr>
          <w:color w:val="000000"/>
          <w:lang w:val="sr-Latn-CS"/>
        </w:rPr>
        <w:t xml:space="preserve">: </w:t>
      </w:r>
      <w:r>
        <w:rPr>
          <w:i/>
          <w:iCs/>
          <w:color w:val="000000"/>
          <w:lang w:val="sr-Latn-CS"/>
        </w:rPr>
        <w:t xml:space="preserve">„Za obavljanje radiodifuzne delatnosti na Kosovu je na osnovu odredbi ovog Zakona potrebna licenca za radiodifuziju koju izdaje Komisija“, </w:t>
      </w:r>
      <w:r>
        <w:rPr>
          <w:color w:val="000000"/>
          <w:lang w:val="sr-Latn-CS"/>
        </w:rPr>
        <w:t>i član</w:t>
      </w:r>
      <w:r w:rsidRPr="00B4287C">
        <w:rPr>
          <w:color w:val="000000"/>
          <w:lang w:val="sr-Latn-CS"/>
        </w:rPr>
        <w:t xml:space="preserve"> 20.5 </w:t>
      </w:r>
      <w:r>
        <w:rPr>
          <w:color w:val="000000"/>
          <w:lang w:val="sr-Latn-CS"/>
        </w:rPr>
        <w:t>Zakona o NKM koji glasi</w:t>
      </w:r>
      <w:r w:rsidRPr="00B4287C">
        <w:rPr>
          <w:color w:val="000000"/>
          <w:lang w:val="sr-Latn-CS"/>
        </w:rPr>
        <w:t>:</w:t>
      </w:r>
      <w:r>
        <w:rPr>
          <w:color w:val="000000"/>
          <w:lang w:val="sr-Latn-CS"/>
        </w:rPr>
        <w:t xml:space="preserve"> </w:t>
      </w:r>
      <w:r>
        <w:rPr>
          <w:i/>
          <w:iCs/>
          <w:color w:val="000000"/>
          <w:lang w:val="sr-Latn-CS"/>
        </w:rPr>
        <w:t>„Radiodifuzna oprema će biti oduzeta svakom ko sprovodi svoju radiodifuznu delatnost bez važeće licence za radiofuziju</w:t>
      </w:r>
      <w:r w:rsidRPr="00B4287C">
        <w:rPr>
          <w:i/>
          <w:iCs/>
          <w:color w:val="000000"/>
          <w:lang w:val="sr-Latn-CS"/>
        </w:rPr>
        <w:t>.</w:t>
      </w:r>
      <w:r>
        <w:rPr>
          <w:i/>
          <w:iCs/>
          <w:color w:val="000000"/>
          <w:lang w:val="sr-Latn-CS"/>
        </w:rPr>
        <w:t xml:space="preserve"> Takvi emiteri nemaju pravo podnošenja žalbe Odboru za žalbe medija</w:t>
      </w:r>
      <w:r w:rsidRPr="00B4287C">
        <w:rPr>
          <w:i/>
          <w:iCs/>
          <w:color w:val="000000"/>
          <w:lang w:val="sr-Latn-CS"/>
        </w:rPr>
        <w:t>”.</w:t>
      </w:r>
    </w:p>
    <w:p w:rsidR="00E843CB" w:rsidRPr="00B4287C" w:rsidRDefault="00E843CB" w:rsidP="00126BC8">
      <w:pPr>
        <w:jc w:val="both"/>
        <w:rPr>
          <w:i/>
          <w:iCs/>
          <w:color w:val="000000"/>
          <w:lang w:val="sr-Latn-CS"/>
        </w:rPr>
      </w:pPr>
    </w:p>
    <w:p w:rsidR="00E843CB" w:rsidRPr="00B4287C" w:rsidRDefault="00E843CB" w:rsidP="00126BC8">
      <w:pPr>
        <w:jc w:val="both"/>
        <w:rPr>
          <w:color w:val="000000"/>
          <w:lang w:val="sr-Latn-CS"/>
        </w:rPr>
      </w:pPr>
      <w:r>
        <w:rPr>
          <w:color w:val="000000"/>
          <w:lang w:val="sr-Latn-CS"/>
        </w:rPr>
        <w:t xml:space="preserve">Procesirani predmeti o kršenjima gore navedenih odredbi su predstavljeni u tabeli 1 </w:t>
      </w:r>
      <w:r>
        <w:rPr>
          <w:i/>
          <w:iCs/>
          <w:color w:val="000000"/>
          <w:lang w:val="sr-Latn-CS"/>
        </w:rPr>
        <w:t>aneksa</w:t>
      </w:r>
      <w:r w:rsidRPr="00B4287C">
        <w:rPr>
          <w:color w:val="000000"/>
          <w:lang w:val="sr-Latn-CS"/>
        </w:rPr>
        <w:t xml:space="preserve"> VI</w:t>
      </w:r>
      <w:r w:rsidRPr="00B4287C">
        <w:rPr>
          <w:rStyle w:val="FootnoteReference"/>
          <w:color w:val="000000"/>
          <w:lang w:val="sr-Latn-CS"/>
        </w:rPr>
        <w:footnoteReference w:id="10"/>
      </w:r>
      <w:r w:rsidRPr="00B4287C">
        <w:rPr>
          <w:color w:val="000000"/>
          <w:lang w:val="sr-Latn-CS"/>
        </w:rPr>
        <w:t xml:space="preserve"> </w:t>
      </w:r>
      <w:r>
        <w:rPr>
          <w:color w:val="000000"/>
          <w:lang w:val="sr-Latn-CS"/>
        </w:rPr>
        <w:t>ovog izveštaja i tiču se jednog (1) ilegalnog emitera u regionu Đakovice. I pored Naredbe o prekidu ilegalnog emitovanja ovaj ilegalni elektronski medij zvani „radio Pandora“ nije prekinuo sa emitovanjem programa, kao ni nakon oduzimanja licence od strane Saveta NKM dana 2. marta</w:t>
      </w:r>
      <w:r w:rsidRPr="00B4287C">
        <w:rPr>
          <w:color w:val="000000"/>
          <w:lang w:val="sr-Latn-CS"/>
        </w:rPr>
        <w:t xml:space="preserve"> 2010. </w:t>
      </w:r>
      <w:r>
        <w:rPr>
          <w:color w:val="000000"/>
          <w:lang w:val="sr-Latn-CS"/>
        </w:rPr>
        <w:t>OŽM je 11. januara</w:t>
      </w:r>
      <w:r w:rsidRPr="00B4287C">
        <w:rPr>
          <w:color w:val="000000"/>
          <w:lang w:val="sr-Latn-CS"/>
        </w:rPr>
        <w:t xml:space="preserve"> 2011</w:t>
      </w:r>
      <w:r>
        <w:rPr>
          <w:color w:val="000000"/>
          <w:lang w:val="sr-Latn-CS"/>
        </w:rPr>
        <w:t>. godine</w:t>
      </w:r>
      <w:r w:rsidRPr="00B4287C">
        <w:rPr>
          <w:color w:val="000000"/>
          <w:lang w:val="sr-Latn-CS"/>
        </w:rPr>
        <w:t xml:space="preserve"> </w:t>
      </w:r>
      <w:r>
        <w:rPr>
          <w:color w:val="000000"/>
          <w:lang w:val="sr-Latn-CS"/>
        </w:rPr>
        <w:t xml:space="preserve">potvrdio odluku Saveta NKM o oduzimanju opreme. Slučaj je zatvoren. </w:t>
      </w:r>
    </w:p>
    <w:p w:rsidR="00E843CB" w:rsidRPr="00B4287C" w:rsidRDefault="00E843CB" w:rsidP="00126BC8">
      <w:pPr>
        <w:jc w:val="both"/>
        <w:rPr>
          <w:color w:val="000000"/>
          <w:lang w:val="sr-Latn-CS"/>
        </w:rPr>
      </w:pPr>
    </w:p>
    <w:p w:rsidR="00E843CB" w:rsidRPr="00B4287C" w:rsidRDefault="00E843CB" w:rsidP="00126BC8">
      <w:pPr>
        <w:jc w:val="both"/>
        <w:rPr>
          <w:b/>
          <w:bCs/>
          <w:color w:val="000000"/>
          <w:lang w:val="sr-Latn-CS"/>
        </w:rPr>
      </w:pPr>
      <w:r>
        <w:rPr>
          <w:color w:val="000000"/>
          <w:lang w:val="sr-Latn-CS"/>
        </w:rPr>
        <w:t xml:space="preserve">Takođe su procesirana i tri predmeta ilegalnog sprovođenja delatnosti od strane tri (3) kablovska operatora koji rade bez licence. Pravno odeljenje NKM im je poslalo dopise i tražilo od istih da apliciraju za licencu NKM. Neki operatori su aplicirali za licencu ali su, zbog nepotpunosti Saveta NKM koji odobrava iste, </w:t>
      </w:r>
      <w:r w:rsidRPr="00B4287C">
        <w:rPr>
          <w:color w:val="000000"/>
          <w:lang w:val="sr-Latn-CS"/>
        </w:rPr>
        <w:t xml:space="preserve"> </w:t>
      </w:r>
      <w:r>
        <w:rPr>
          <w:color w:val="000000"/>
          <w:lang w:val="sr-Latn-CS"/>
        </w:rPr>
        <w:t>predmeti prebačeni u 2012. godinu</w:t>
      </w:r>
      <w:r w:rsidRPr="00B4287C">
        <w:rPr>
          <w:color w:val="000000"/>
          <w:lang w:val="sr-Latn-CS"/>
        </w:rPr>
        <w:t>.</w:t>
      </w:r>
    </w:p>
    <w:p w:rsidR="00E843CB" w:rsidRPr="00B4287C" w:rsidRDefault="00E843CB" w:rsidP="00126BC8">
      <w:pPr>
        <w:jc w:val="both"/>
        <w:rPr>
          <w:color w:val="000000"/>
          <w:lang w:val="sr-Latn-CS"/>
        </w:rPr>
      </w:pPr>
    </w:p>
    <w:p w:rsidR="00E843CB" w:rsidRPr="00B4287C" w:rsidRDefault="00E843CB" w:rsidP="00947121">
      <w:pPr>
        <w:numPr>
          <w:ilvl w:val="0"/>
          <w:numId w:val="2"/>
        </w:numPr>
        <w:jc w:val="both"/>
        <w:outlineLvl w:val="2"/>
        <w:rPr>
          <w:b/>
          <w:bCs/>
          <w:i/>
          <w:iCs/>
          <w:color w:val="000000"/>
          <w:lang w:val="sr-Latn-CS"/>
        </w:rPr>
      </w:pPr>
      <w:bookmarkStart w:id="74" w:name="_Toc319311050"/>
      <w:r>
        <w:rPr>
          <w:b/>
          <w:bCs/>
          <w:i/>
          <w:iCs/>
          <w:color w:val="000000"/>
          <w:lang w:val="sr-Latn-CS"/>
        </w:rPr>
        <w:t xml:space="preserve">Predmeti kršenja Uredbe o audiovizuelnoj komercijalnoj komunikaciji SNKM </w:t>
      </w:r>
      <w:r w:rsidRPr="00B4287C">
        <w:rPr>
          <w:b/>
          <w:bCs/>
          <w:i/>
          <w:iCs/>
          <w:color w:val="000000"/>
          <w:lang w:val="sr-Latn-CS"/>
        </w:rPr>
        <w:t>2009/04;</w:t>
      </w:r>
      <w:bookmarkEnd w:id="74"/>
    </w:p>
    <w:p w:rsidR="00E843CB" w:rsidRPr="00B4287C" w:rsidRDefault="00E843CB" w:rsidP="00126BC8">
      <w:pPr>
        <w:jc w:val="both"/>
        <w:rPr>
          <w:b/>
          <w:bCs/>
          <w:color w:val="000000"/>
          <w:lang w:val="sr-Latn-CS"/>
        </w:rPr>
      </w:pPr>
    </w:p>
    <w:p w:rsidR="00E843CB" w:rsidRPr="00B4287C" w:rsidRDefault="00E843CB" w:rsidP="00126BC8">
      <w:pPr>
        <w:jc w:val="both"/>
        <w:rPr>
          <w:color w:val="000000"/>
          <w:lang w:val="sr-Latn-CS"/>
        </w:rPr>
      </w:pPr>
      <w:r>
        <w:rPr>
          <w:color w:val="000000"/>
          <w:lang w:val="sr-Latn-CS"/>
        </w:rPr>
        <w:t>Pravno odeljenje je tokom 2011. godine</w:t>
      </w:r>
      <w:r w:rsidRPr="00B4287C">
        <w:rPr>
          <w:color w:val="000000"/>
          <w:lang w:val="sr-Latn-CS"/>
        </w:rPr>
        <w:t xml:space="preserve"> </w:t>
      </w:r>
      <w:r>
        <w:rPr>
          <w:color w:val="000000"/>
          <w:lang w:val="sr-Latn-CS"/>
        </w:rPr>
        <w:t xml:space="preserve">procesiralo osamnaest (18) predmeta protiv elektronskih medija i provajdera programskih usluga koji su prekršili </w:t>
      </w:r>
      <w:r w:rsidRPr="00AD5751">
        <w:rPr>
          <w:color w:val="000000"/>
          <w:lang w:val="sr-Latn-CS"/>
        </w:rPr>
        <w:t>Uredb</w:t>
      </w:r>
      <w:r>
        <w:rPr>
          <w:color w:val="000000"/>
          <w:lang w:val="sr-Latn-CS"/>
        </w:rPr>
        <w:t>u</w:t>
      </w:r>
      <w:r w:rsidRPr="00AD5751">
        <w:rPr>
          <w:color w:val="000000"/>
          <w:lang w:val="sr-Latn-CS"/>
        </w:rPr>
        <w:t xml:space="preserve"> o audiovizuelnoj komercijalnoj komunikaciji SNKM 2009/04</w:t>
      </w:r>
      <w:r w:rsidRPr="00B4287C">
        <w:rPr>
          <w:color w:val="000000"/>
          <w:lang w:val="sr-Latn-CS"/>
        </w:rPr>
        <w:t>.</w:t>
      </w:r>
    </w:p>
    <w:p w:rsidR="00E843CB" w:rsidRPr="00B4287C" w:rsidRDefault="00E843CB" w:rsidP="00126BC8">
      <w:pPr>
        <w:ind w:left="720"/>
        <w:jc w:val="both"/>
        <w:rPr>
          <w:color w:val="000000"/>
          <w:lang w:val="sr-Latn-CS"/>
        </w:rPr>
      </w:pPr>
    </w:p>
    <w:p w:rsidR="00E843CB" w:rsidRPr="00B4287C" w:rsidRDefault="00E843CB" w:rsidP="00126BC8">
      <w:pPr>
        <w:ind w:left="180" w:hanging="360"/>
        <w:jc w:val="both"/>
        <w:rPr>
          <w:color w:val="000000"/>
          <w:lang w:val="sr-Latn-CS"/>
        </w:rPr>
      </w:pPr>
      <w:r w:rsidRPr="00B4287C">
        <w:rPr>
          <w:color w:val="000000"/>
          <w:lang w:val="sr-Latn-CS"/>
        </w:rPr>
        <w:t xml:space="preserve">•   RTK </w:t>
      </w:r>
      <w:r>
        <w:rPr>
          <w:color w:val="000000"/>
          <w:lang w:val="sr-Latn-CS"/>
        </w:rPr>
        <w:t xml:space="preserve">je prekršila član </w:t>
      </w:r>
      <w:r w:rsidRPr="00B4287C">
        <w:rPr>
          <w:color w:val="000000"/>
          <w:lang w:val="sr-Latn-CS"/>
        </w:rPr>
        <w:t xml:space="preserve">15.1 </w:t>
      </w:r>
      <w:r>
        <w:rPr>
          <w:color w:val="000000"/>
          <w:lang w:val="sr-Latn-CS"/>
        </w:rPr>
        <w:t xml:space="preserve">o plasiranju proizvoda i član </w:t>
      </w:r>
      <w:r w:rsidRPr="00B4287C">
        <w:rPr>
          <w:color w:val="000000"/>
          <w:lang w:val="sr-Latn-CS"/>
        </w:rPr>
        <w:t xml:space="preserve">15.3 </w:t>
      </w:r>
      <w:r>
        <w:rPr>
          <w:color w:val="000000"/>
          <w:lang w:val="sr-Latn-CS"/>
        </w:rPr>
        <w:t>o prekoračenju minuta dozvoljenih za emitovanje reklama. Posle obaveštenja o kršenju, upozorenja i naredbe i odluka, Odbor RTK nije uspeo da usaglasi delatnost javnog servisa sa Uredbom. Savet NKM je zbog stalnih kršenja Uredbe SNKM</w:t>
      </w:r>
      <w:r w:rsidRPr="00B4287C">
        <w:rPr>
          <w:color w:val="000000"/>
          <w:lang w:val="sr-Latn-CS"/>
        </w:rPr>
        <w:t xml:space="preserve"> 2009/04</w:t>
      </w:r>
      <w:r>
        <w:rPr>
          <w:color w:val="000000"/>
          <w:lang w:val="sr-Latn-CS"/>
        </w:rPr>
        <w:t xml:space="preserve"> od strane RTK, 28. septembra</w:t>
      </w:r>
      <w:r w:rsidRPr="00B4287C">
        <w:rPr>
          <w:color w:val="000000"/>
          <w:lang w:val="sr-Latn-CS"/>
        </w:rPr>
        <w:t xml:space="preserve"> 2010</w:t>
      </w:r>
      <w:r>
        <w:rPr>
          <w:color w:val="000000"/>
          <w:lang w:val="sr-Latn-CS"/>
        </w:rPr>
        <w:t>. godine</w:t>
      </w:r>
      <w:r w:rsidRPr="00B4287C">
        <w:rPr>
          <w:color w:val="000000"/>
          <w:lang w:val="sr-Latn-CS"/>
        </w:rPr>
        <w:t xml:space="preserve"> </w:t>
      </w:r>
      <w:r>
        <w:rPr>
          <w:color w:val="000000"/>
          <w:lang w:val="sr-Latn-CS"/>
        </w:rPr>
        <w:t xml:space="preserve">kaznila javni servis. RTK je podnela žalbu na odluku Saveta NKM, Odboru za žalbe medija (OŽM). OŽM je odbacio žalbu RTK kao neosnovanu i potvrdio odluke Saveta NKM kao zakonite. </w:t>
      </w:r>
      <w:r w:rsidRPr="00B4287C">
        <w:rPr>
          <w:color w:val="000000"/>
          <w:lang w:val="sr-Latn-CS"/>
        </w:rPr>
        <w:t xml:space="preserve">RTK </w:t>
      </w:r>
      <w:r>
        <w:rPr>
          <w:color w:val="000000"/>
          <w:lang w:val="sr-Latn-CS"/>
        </w:rPr>
        <w:t xml:space="preserve">je i pored odluka OŽM koje potvrđuju odluke Saveta NKM o obavezi plaćanja kazne,  nastavila da deluje suprotno odredbama Uredbe SNKM </w:t>
      </w:r>
      <w:r w:rsidRPr="00B4287C">
        <w:rPr>
          <w:color w:val="000000"/>
          <w:lang w:val="sr-Latn-CS"/>
        </w:rPr>
        <w:t>-2009/0</w:t>
      </w:r>
      <w:r>
        <w:rPr>
          <w:color w:val="000000"/>
          <w:lang w:val="sr-Latn-CS"/>
        </w:rPr>
        <w:t>4</w:t>
      </w:r>
      <w:r w:rsidRPr="00B4287C">
        <w:rPr>
          <w:color w:val="000000"/>
          <w:lang w:val="sr-Latn-CS"/>
        </w:rPr>
        <w:t xml:space="preserve">. </w:t>
      </w:r>
    </w:p>
    <w:p w:rsidR="00E843CB" w:rsidRPr="00B4287C" w:rsidRDefault="00E843CB" w:rsidP="00126BC8">
      <w:pPr>
        <w:ind w:left="180"/>
        <w:jc w:val="both"/>
        <w:rPr>
          <w:color w:val="000000"/>
          <w:lang w:val="sr-Latn-CS"/>
        </w:rPr>
      </w:pPr>
    </w:p>
    <w:p w:rsidR="00E843CB" w:rsidRPr="00B4287C" w:rsidRDefault="00E843CB" w:rsidP="0066487D">
      <w:pPr>
        <w:pStyle w:val="ListParagraph"/>
        <w:numPr>
          <w:ilvl w:val="0"/>
          <w:numId w:val="19"/>
        </w:numPr>
        <w:jc w:val="both"/>
        <w:rPr>
          <w:rFonts w:ascii="Times New Roman" w:hAnsi="Times New Roman" w:cs="Times New Roman"/>
          <w:color w:val="000000"/>
          <w:lang w:val="sr-Latn-CS"/>
        </w:rPr>
      </w:pPr>
      <w:r w:rsidRPr="00B4287C">
        <w:rPr>
          <w:rFonts w:ascii="Times New Roman" w:hAnsi="Times New Roman" w:cs="Times New Roman"/>
          <w:color w:val="000000"/>
          <w:lang w:val="sr-Latn-CS"/>
        </w:rPr>
        <w:t>KLAN KOSOVA</w:t>
      </w:r>
      <w:r>
        <w:rPr>
          <w:rFonts w:ascii="Times New Roman" w:hAnsi="Times New Roman" w:cs="Times New Roman"/>
          <w:color w:val="000000"/>
          <w:lang w:val="sr-Latn-CS"/>
        </w:rPr>
        <w:t xml:space="preserve"> je prekršio član </w:t>
      </w:r>
      <w:r w:rsidRPr="00B4287C">
        <w:rPr>
          <w:rFonts w:ascii="Times New Roman" w:hAnsi="Times New Roman" w:cs="Times New Roman"/>
          <w:color w:val="000000"/>
          <w:lang w:val="sr-Latn-CS"/>
        </w:rPr>
        <w:t xml:space="preserve">15.3 </w:t>
      </w:r>
      <w:r>
        <w:rPr>
          <w:rFonts w:ascii="Times New Roman" w:hAnsi="Times New Roman" w:cs="Times New Roman"/>
          <w:color w:val="000000"/>
          <w:lang w:val="sr-Latn-CS"/>
        </w:rPr>
        <w:t>ove uredbe, prekoračenje minuta dozvoljenih za emitovanje reklama</w:t>
      </w:r>
      <w:r w:rsidRPr="00B4287C">
        <w:rPr>
          <w:rFonts w:ascii="Times New Roman" w:hAnsi="Times New Roman" w:cs="Times New Roman"/>
          <w:color w:val="000000"/>
          <w:lang w:val="sr-Latn-CS"/>
        </w:rPr>
        <w:t>.</w:t>
      </w:r>
      <w:r>
        <w:rPr>
          <w:rFonts w:ascii="Times New Roman" w:hAnsi="Times New Roman" w:cs="Times New Roman"/>
          <w:color w:val="000000"/>
          <w:lang w:val="sr-Latn-CS"/>
        </w:rPr>
        <w:t xml:space="preserve"> I posle prijema Obaveštenja o kršenju, Upozorenja i Naredbe, provajder programskih usluga Klan Kosova nije usaglasio svoje delovanje sa Uredbom </w:t>
      </w:r>
      <w:r w:rsidRPr="00764BAA">
        <w:rPr>
          <w:rFonts w:ascii="Times New Roman" w:hAnsi="Times New Roman" w:cs="Times New Roman"/>
          <w:i/>
          <w:iCs/>
          <w:color w:val="000000"/>
          <w:lang w:val="sr-Latn-CS"/>
        </w:rPr>
        <w:t>SNKM</w:t>
      </w:r>
      <w:r w:rsidRPr="00B4287C">
        <w:rPr>
          <w:rFonts w:ascii="Times New Roman" w:hAnsi="Times New Roman" w:cs="Times New Roman"/>
          <w:i/>
          <w:iCs/>
          <w:color w:val="000000"/>
          <w:lang w:val="sr-Latn-CS"/>
        </w:rPr>
        <w:t xml:space="preserve"> 2009/04</w:t>
      </w:r>
      <w:r w:rsidRPr="00B4287C">
        <w:rPr>
          <w:rFonts w:ascii="Times New Roman" w:hAnsi="Times New Roman" w:cs="Times New Roman"/>
          <w:color w:val="000000"/>
          <w:lang w:val="sr-Latn-CS"/>
        </w:rPr>
        <w:t xml:space="preserve">. </w:t>
      </w:r>
    </w:p>
    <w:p w:rsidR="00E843CB" w:rsidRPr="00B4287C" w:rsidRDefault="00E843CB" w:rsidP="00126BC8">
      <w:pPr>
        <w:pStyle w:val="ListParagraph"/>
        <w:numPr>
          <w:ilvl w:val="0"/>
          <w:numId w:val="19"/>
        </w:numPr>
        <w:jc w:val="both"/>
        <w:rPr>
          <w:rFonts w:ascii="Times New Roman" w:hAnsi="Times New Roman" w:cs="Times New Roman"/>
          <w:color w:val="000000"/>
          <w:lang w:val="sr-Latn-CS"/>
        </w:rPr>
      </w:pPr>
      <w:r w:rsidRPr="00B4287C">
        <w:rPr>
          <w:rFonts w:ascii="Times New Roman" w:hAnsi="Times New Roman" w:cs="Times New Roman"/>
          <w:color w:val="000000"/>
          <w:lang w:val="sr-Latn-CS"/>
        </w:rPr>
        <w:t xml:space="preserve">TV OPINION </w:t>
      </w:r>
      <w:r>
        <w:rPr>
          <w:rFonts w:ascii="Times New Roman" w:hAnsi="Times New Roman" w:cs="Times New Roman"/>
          <w:color w:val="000000"/>
          <w:lang w:val="sr-Latn-CS"/>
        </w:rPr>
        <w:t xml:space="preserve">je prekršio član </w:t>
      </w:r>
      <w:r w:rsidRPr="00B4287C">
        <w:rPr>
          <w:rFonts w:ascii="Times New Roman" w:hAnsi="Times New Roman" w:cs="Times New Roman"/>
          <w:color w:val="000000"/>
          <w:lang w:val="sr-Latn-CS"/>
        </w:rPr>
        <w:t xml:space="preserve">15.3 </w:t>
      </w:r>
      <w:r>
        <w:rPr>
          <w:rFonts w:ascii="Times New Roman" w:hAnsi="Times New Roman" w:cs="Times New Roman"/>
          <w:color w:val="000000"/>
          <w:lang w:val="sr-Latn-CS"/>
        </w:rPr>
        <w:t>ove uredbe, prekoračenje minuta dozvoljenih za emitovanje reklama</w:t>
      </w:r>
      <w:r w:rsidRPr="00B4287C">
        <w:rPr>
          <w:rFonts w:ascii="Times New Roman" w:hAnsi="Times New Roman" w:cs="Times New Roman"/>
          <w:color w:val="000000"/>
          <w:lang w:val="sr-Latn-CS"/>
        </w:rPr>
        <w:t>.</w:t>
      </w:r>
      <w:r>
        <w:rPr>
          <w:rFonts w:ascii="Times New Roman" w:hAnsi="Times New Roman" w:cs="Times New Roman"/>
          <w:color w:val="000000"/>
          <w:lang w:val="sr-Latn-CS"/>
        </w:rPr>
        <w:t xml:space="preserve"> I posle prijema Obaveštenja o kršenju, Upozorenja i Naredbe, elektronski medij TV Opinion je nastavio da deluje suprotno Uredbi </w:t>
      </w:r>
      <w:r w:rsidRPr="00764BAA">
        <w:rPr>
          <w:rFonts w:ascii="Times New Roman" w:hAnsi="Times New Roman" w:cs="Times New Roman"/>
          <w:i/>
          <w:iCs/>
          <w:color w:val="000000"/>
          <w:lang w:val="sr-Latn-CS"/>
        </w:rPr>
        <w:t>SNKM</w:t>
      </w:r>
      <w:r w:rsidRPr="00B4287C">
        <w:rPr>
          <w:rFonts w:ascii="Times New Roman" w:hAnsi="Times New Roman" w:cs="Times New Roman"/>
          <w:i/>
          <w:iCs/>
          <w:color w:val="000000"/>
          <w:lang w:val="sr-Latn-CS"/>
        </w:rPr>
        <w:t xml:space="preserve"> 2009/04</w:t>
      </w:r>
      <w:r w:rsidRPr="00B4287C">
        <w:rPr>
          <w:rFonts w:ascii="Times New Roman" w:hAnsi="Times New Roman" w:cs="Times New Roman"/>
          <w:color w:val="000000"/>
          <w:lang w:val="sr-Latn-CS"/>
        </w:rPr>
        <w:t>.</w:t>
      </w:r>
    </w:p>
    <w:p w:rsidR="00E843CB" w:rsidRPr="00B4287C" w:rsidRDefault="00E843CB" w:rsidP="0066487D">
      <w:pPr>
        <w:pStyle w:val="ListParagraph"/>
        <w:numPr>
          <w:ilvl w:val="0"/>
          <w:numId w:val="19"/>
        </w:numPr>
        <w:jc w:val="both"/>
        <w:rPr>
          <w:rFonts w:ascii="Times New Roman" w:hAnsi="Times New Roman" w:cs="Times New Roman"/>
          <w:color w:val="000000"/>
          <w:lang w:val="sr-Latn-CS"/>
        </w:rPr>
      </w:pPr>
      <w:r w:rsidRPr="00B4287C">
        <w:rPr>
          <w:rFonts w:ascii="Times New Roman" w:hAnsi="Times New Roman" w:cs="Times New Roman"/>
          <w:color w:val="000000"/>
          <w:lang w:val="sr-Latn-CS"/>
        </w:rPr>
        <w:t>TV FESTINA</w:t>
      </w:r>
      <w:r>
        <w:rPr>
          <w:rFonts w:ascii="Times New Roman" w:hAnsi="Times New Roman" w:cs="Times New Roman"/>
          <w:color w:val="000000"/>
          <w:lang w:val="sr-Latn-CS"/>
        </w:rPr>
        <w:t xml:space="preserve"> je prekršila član </w:t>
      </w:r>
      <w:r w:rsidRPr="00B4287C">
        <w:rPr>
          <w:rFonts w:ascii="Times New Roman" w:hAnsi="Times New Roman" w:cs="Times New Roman"/>
          <w:color w:val="000000"/>
          <w:lang w:val="sr-Latn-CS"/>
        </w:rPr>
        <w:t xml:space="preserve">15.3 </w:t>
      </w:r>
      <w:r>
        <w:rPr>
          <w:rFonts w:ascii="Times New Roman" w:hAnsi="Times New Roman" w:cs="Times New Roman"/>
          <w:color w:val="000000"/>
          <w:lang w:val="sr-Latn-CS"/>
        </w:rPr>
        <w:t>ove uredbe, prekoračenje minuta dozvoljenih za emitovanje reklama</w:t>
      </w:r>
      <w:r w:rsidRPr="00B4287C">
        <w:rPr>
          <w:rFonts w:ascii="Times New Roman" w:hAnsi="Times New Roman" w:cs="Times New Roman"/>
          <w:color w:val="000000"/>
          <w:lang w:val="sr-Latn-CS"/>
        </w:rPr>
        <w:t>.</w:t>
      </w:r>
      <w:r>
        <w:rPr>
          <w:rFonts w:ascii="Times New Roman" w:hAnsi="Times New Roman" w:cs="Times New Roman"/>
          <w:color w:val="000000"/>
          <w:lang w:val="sr-Latn-CS"/>
        </w:rPr>
        <w:t xml:space="preserve"> I posle prijema Obaveštenja o kršenju, pismenog upozorenja i naredbe, elektronski medij TV Festina je nastavio da deluje suprotno Uredbi </w:t>
      </w:r>
      <w:r w:rsidRPr="00764BAA">
        <w:rPr>
          <w:rFonts w:ascii="Times New Roman" w:hAnsi="Times New Roman" w:cs="Times New Roman"/>
          <w:i/>
          <w:iCs/>
          <w:color w:val="000000"/>
          <w:lang w:val="sr-Latn-CS"/>
        </w:rPr>
        <w:t>SNKM</w:t>
      </w:r>
      <w:r w:rsidRPr="00B4287C">
        <w:rPr>
          <w:rFonts w:ascii="Times New Roman" w:hAnsi="Times New Roman" w:cs="Times New Roman"/>
          <w:i/>
          <w:iCs/>
          <w:color w:val="000000"/>
          <w:lang w:val="sr-Latn-CS"/>
        </w:rPr>
        <w:t xml:space="preserve"> 2009/04</w:t>
      </w:r>
      <w:r w:rsidRPr="00B4287C">
        <w:rPr>
          <w:rFonts w:ascii="Times New Roman" w:hAnsi="Times New Roman" w:cs="Times New Roman"/>
          <w:color w:val="000000"/>
          <w:lang w:val="sr-Latn-CS"/>
        </w:rPr>
        <w:t>.</w:t>
      </w:r>
    </w:p>
    <w:p w:rsidR="00E843CB" w:rsidRPr="00B4287C" w:rsidRDefault="00E843CB" w:rsidP="0066487D">
      <w:pPr>
        <w:pStyle w:val="ListParagraph"/>
        <w:numPr>
          <w:ilvl w:val="0"/>
          <w:numId w:val="19"/>
        </w:numPr>
        <w:jc w:val="both"/>
        <w:rPr>
          <w:rFonts w:ascii="Times New Roman" w:hAnsi="Times New Roman" w:cs="Times New Roman"/>
          <w:color w:val="000000"/>
          <w:lang w:val="sr-Latn-CS"/>
        </w:rPr>
      </w:pPr>
      <w:r w:rsidRPr="00B4287C">
        <w:rPr>
          <w:rFonts w:ascii="Times New Roman" w:hAnsi="Times New Roman" w:cs="Times New Roman"/>
          <w:color w:val="000000"/>
          <w:lang w:val="sr-Latn-CS"/>
        </w:rPr>
        <w:t xml:space="preserve">TV MEN </w:t>
      </w:r>
      <w:r>
        <w:rPr>
          <w:rFonts w:ascii="Times New Roman" w:hAnsi="Times New Roman" w:cs="Times New Roman"/>
          <w:color w:val="000000"/>
          <w:lang w:val="sr-Latn-CS"/>
        </w:rPr>
        <w:t xml:space="preserve">je prekršio član </w:t>
      </w:r>
      <w:r w:rsidRPr="00B4287C">
        <w:rPr>
          <w:rFonts w:ascii="Times New Roman" w:hAnsi="Times New Roman" w:cs="Times New Roman"/>
          <w:color w:val="000000"/>
          <w:lang w:val="sr-Latn-CS"/>
        </w:rPr>
        <w:t xml:space="preserve">15.3 </w:t>
      </w:r>
      <w:r>
        <w:rPr>
          <w:rFonts w:ascii="Times New Roman" w:hAnsi="Times New Roman" w:cs="Times New Roman"/>
          <w:color w:val="000000"/>
          <w:lang w:val="sr-Latn-CS"/>
        </w:rPr>
        <w:t>ove uredbe, prekoračenje minuta dozvoljenih za emitovanje reklama</w:t>
      </w:r>
      <w:r w:rsidRPr="00B4287C">
        <w:rPr>
          <w:rFonts w:ascii="Times New Roman" w:hAnsi="Times New Roman" w:cs="Times New Roman"/>
          <w:color w:val="000000"/>
          <w:lang w:val="sr-Latn-CS"/>
        </w:rPr>
        <w:t>.</w:t>
      </w:r>
      <w:r>
        <w:rPr>
          <w:rFonts w:ascii="Times New Roman" w:hAnsi="Times New Roman" w:cs="Times New Roman"/>
          <w:color w:val="000000"/>
          <w:lang w:val="sr-Latn-CS"/>
        </w:rPr>
        <w:t xml:space="preserve"> I posle prijema Obaveštenja o kršenju elektronski medij TV MEN je nastavio da deluje suprotno Uredbi </w:t>
      </w:r>
      <w:r w:rsidRPr="00764BAA">
        <w:rPr>
          <w:rFonts w:ascii="Times New Roman" w:hAnsi="Times New Roman" w:cs="Times New Roman"/>
          <w:i/>
          <w:iCs/>
          <w:color w:val="000000"/>
          <w:lang w:val="sr-Latn-CS"/>
        </w:rPr>
        <w:t>SNKM</w:t>
      </w:r>
      <w:r w:rsidRPr="00B4287C">
        <w:rPr>
          <w:rFonts w:ascii="Times New Roman" w:hAnsi="Times New Roman" w:cs="Times New Roman"/>
          <w:i/>
          <w:iCs/>
          <w:color w:val="000000"/>
          <w:lang w:val="sr-Latn-CS"/>
        </w:rPr>
        <w:t xml:space="preserve"> 2009/04</w:t>
      </w:r>
      <w:r w:rsidRPr="00B4287C">
        <w:rPr>
          <w:rFonts w:ascii="Times New Roman" w:hAnsi="Times New Roman" w:cs="Times New Roman"/>
          <w:color w:val="000000"/>
          <w:lang w:val="sr-Latn-CS"/>
        </w:rPr>
        <w:t>.</w:t>
      </w:r>
    </w:p>
    <w:p w:rsidR="00E843CB" w:rsidRPr="00B4287C" w:rsidRDefault="00E843CB" w:rsidP="00126BC8">
      <w:pPr>
        <w:jc w:val="both"/>
        <w:rPr>
          <w:color w:val="000000"/>
          <w:lang w:val="sr-Latn-CS"/>
        </w:rPr>
      </w:pPr>
      <w:r>
        <w:rPr>
          <w:color w:val="000000"/>
          <w:lang w:val="sr-Latn-CS"/>
        </w:rPr>
        <w:t>Pravno odeljenje je u vezi sa gore navedenim predmetima delovalo u skladu sa zakonskim pravilima kako bi licencirani delovali u saglasnosti sa Zakonom i podzakonskim aktima NKM. NKM je sastavila preporuke o sankcijama, ali se ovi predmeti nisu mogli zaključiti zbog nepotpunog sastava Saveta NKM. Predmeti se prenose u 2012. godinu</w:t>
      </w:r>
      <w:r w:rsidRPr="00B4287C">
        <w:rPr>
          <w:color w:val="000000"/>
          <w:lang w:val="sr-Latn-CS"/>
        </w:rPr>
        <w:t>.</w:t>
      </w:r>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Dok su u ostalih 13 slučajeva elektronski mediji usaglasili svoje delovanje po dobijanju Obaveštenja o kršenju i Pismenog upozorenja prosleđenog od strane NKM. Predmeti su zatvoreni</w:t>
      </w:r>
      <w:r w:rsidRPr="00B4287C">
        <w:rPr>
          <w:color w:val="000000"/>
          <w:lang w:val="sr-Latn-CS"/>
        </w:rPr>
        <w:t>.</w:t>
      </w:r>
    </w:p>
    <w:p w:rsidR="00E843CB" w:rsidRPr="00B4287C" w:rsidRDefault="00E843CB" w:rsidP="00126BC8">
      <w:pPr>
        <w:ind w:left="180"/>
        <w:jc w:val="both"/>
        <w:rPr>
          <w:b/>
          <w:bCs/>
          <w:color w:val="000000"/>
          <w:lang w:val="sr-Latn-CS"/>
        </w:rPr>
      </w:pPr>
    </w:p>
    <w:p w:rsidR="00E843CB" w:rsidRPr="00B4287C" w:rsidRDefault="00E843CB" w:rsidP="00947121">
      <w:pPr>
        <w:numPr>
          <w:ilvl w:val="0"/>
          <w:numId w:val="2"/>
        </w:numPr>
        <w:jc w:val="both"/>
        <w:outlineLvl w:val="2"/>
        <w:rPr>
          <w:b/>
          <w:bCs/>
          <w:i/>
          <w:iCs/>
          <w:color w:val="000000"/>
          <w:lang w:val="sr-Latn-CS"/>
        </w:rPr>
      </w:pPr>
      <w:bookmarkStart w:id="75" w:name="_Toc319311051"/>
      <w:r>
        <w:rPr>
          <w:b/>
          <w:bCs/>
          <w:i/>
          <w:iCs/>
          <w:color w:val="000000"/>
          <w:lang w:val="sr-Latn-CS"/>
        </w:rPr>
        <w:t xml:space="preserve">Predmeti kršenja Uredbe o zaštiti dece i maloletnika od štetnog programskog sadržaja SNKM </w:t>
      </w:r>
      <w:r w:rsidRPr="00B4287C">
        <w:rPr>
          <w:b/>
          <w:bCs/>
          <w:i/>
          <w:iCs/>
          <w:color w:val="000000"/>
          <w:lang w:val="sr-Latn-CS"/>
        </w:rPr>
        <w:t>2009/01</w:t>
      </w:r>
      <w:bookmarkEnd w:id="75"/>
    </w:p>
    <w:p w:rsidR="00E843CB" w:rsidRPr="00B4287C" w:rsidRDefault="00E843CB" w:rsidP="00126BC8">
      <w:pPr>
        <w:ind w:left="360"/>
        <w:jc w:val="both"/>
        <w:rPr>
          <w:i/>
          <w:iCs/>
          <w:color w:val="000000"/>
          <w:lang w:val="sr-Latn-CS"/>
        </w:rPr>
      </w:pPr>
    </w:p>
    <w:p w:rsidR="00E843CB" w:rsidRPr="00B4287C" w:rsidRDefault="00E843CB" w:rsidP="00126BC8">
      <w:pPr>
        <w:jc w:val="both"/>
        <w:rPr>
          <w:lang w:val="sr-Latn-CS"/>
        </w:rPr>
      </w:pPr>
      <w:r>
        <w:rPr>
          <w:lang w:val="sr-Latn-CS"/>
        </w:rPr>
        <w:t>Pravno odeljenje je tokom 2011. godine</w:t>
      </w:r>
      <w:r w:rsidRPr="00B4287C">
        <w:rPr>
          <w:lang w:val="sr-Latn-CS"/>
        </w:rPr>
        <w:t xml:space="preserve"> </w:t>
      </w:r>
      <w:r>
        <w:rPr>
          <w:lang w:val="sr-Latn-CS"/>
        </w:rPr>
        <w:t xml:space="preserve">procesiralo dvadeset tri (23) predmeta protiv elektronskih medija i provajdera programskih usluga koji su prekršili </w:t>
      </w:r>
      <w:r w:rsidRPr="006208A0">
        <w:rPr>
          <w:color w:val="000000"/>
          <w:lang w:val="sr-Latn-CS"/>
        </w:rPr>
        <w:t xml:space="preserve">Uredbe o zaštiti dece i maloletnika </w:t>
      </w:r>
      <w:r>
        <w:rPr>
          <w:color w:val="000000"/>
          <w:lang w:val="sr-Latn-CS"/>
        </w:rPr>
        <w:t>od štetnog programskog sadr</w:t>
      </w:r>
      <w:r w:rsidRPr="006208A0">
        <w:rPr>
          <w:color w:val="000000"/>
          <w:lang w:val="sr-Latn-CS"/>
        </w:rPr>
        <w:t>ž</w:t>
      </w:r>
      <w:r>
        <w:rPr>
          <w:color w:val="000000"/>
          <w:lang w:val="sr-Latn-CS"/>
        </w:rPr>
        <w:t>a</w:t>
      </w:r>
      <w:r w:rsidRPr="006208A0">
        <w:rPr>
          <w:color w:val="000000"/>
          <w:lang w:val="sr-Latn-CS"/>
        </w:rPr>
        <w:t>ja SNKM 2009/01</w:t>
      </w:r>
      <w:r w:rsidRPr="00B4287C">
        <w:rPr>
          <w:lang w:val="sr-Latn-CS"/>
        </w:rPr>
        <w:t>:</w:t>
      </w:r>
    </w:p>
    <w:p w:rsidR="00E843CB" w:rsidRPr="00B4287C" w:rsidRDefault="00E843CB" w:rsidP="00126BC8">
      <w:pPr>
        <w:jc w:val="both"/>
        <w:rPr>
          <w:lang w:val="sr-Latn-CS"/>
        </w:rPr>
      </w:pPr>
    </w:p>
    <w:p w:rsidR="00E843CB" w:rsidRPr="00B4287C" w:rsidRDefault="00E843CB" w:rsidP="00126BC8">
      <w:pPr>
        <w:jc w:val="both"/>
        <w:rPr>
          <w:color w:val="000000"/>
          <w:lang w:val="sr-Latn-CS"/>
        </w:rPr>
      </w:pPr>
      <w:r>
        <w:rPr>
          <w:color w:val="000000"/>
          <w:lang w:val="sr-Latn-CS"/>
        </w:rPr>
        <w:t>Kancelarija NKM je u pet slučajeva poslala obaveštenje o kršenju, Pismeno upozorenje i Naredbu, ali strane nisu usaglasile svoje delovanje. Predmeti se prenose u 2012. godinu</w:t>
      </w:r>
      <w:r w:rsidRPr="00B4287C">
        <w:rPr>
          <w:color w:val="000000"/>
          <w:lang w:val="sr-Latn-CS"/>
        </w:rPr>
        <w:t>.</w:t>
      </w:r>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Dok je u 18 ostalih predmeta po dobijanju Obaveštenja o kršenju i pismenog upozorenja usaglasilo svoje delovanje sa uredbom. Predmeti su zatvoreni</w:t>
      </w:r>
      <w:r w:rsidRPr="00B4287C">
        <w:rPr>
          <w:color w:val="000000"/>
          <w:lang w:val="sr-Latn-CS"/>
        </w:rPr>
        <w:t>.</w:t>
      </w:r>
    </w:p>
    <w:p w:rsidR="00E843CB" w:rsidRPr="00B4287C" w:rsidRDefault="00E843CB" w:rsidP="00126BC8">
      <w:pPr>
        <w:rPr>
          <w:color w:val="000000"/>
          <w:lang w:val="sr-Latn-CS"/>
        </w:rPr>
      </w:pPr>
    </w:p>
    <w:p w:rsidR="00E843CB" w:rsidRPr="00B4287C" w:rsidRDefault="00E843CB" w:rsidP="00947121">
      <w:pPr>
        <w:ind w:firstLine="360"/>
        <w:outlineLvl w:val="2"/>
        <w:rPr>
          <w:b/>
          <w:bCs/>
          <w:color w:val="000000"/>
          <w:lang w:val="sr-Latn-CS"/>
        </w:rPr>
      </w:pPr>
      <w:bookmarkStart w:id="76" w:name="_Toc319311052"/>
      <w:r w:rsidRPr="00B4287C">
        <w:rPr>
          <w:b/>
          <w:bCs/>
          <w:color w:val="000000"/>
          <w:lang w:val="sr-Latn-CS"/>
        </w:rPr>
        <w:t>4.</w:t>
      </w:r>
      <w:r>
        <w:rPr>
          <w:b/>
          <w:bCs/>
          <w:color w:val="000000"/>
          <w:lang w:val="sr-Latn-CS"/>
        </w:rPr>
        <w:t xml:space="preserve">  Predmeti kršenja Opštih uslova i pravila licence</w:t>
      </w:r>
      <w:bookmarkEnd w:id="76"/>
    </w:p>
    <w:p w:rsidR="00E843CB" w:rsidRPr="00B4287C" w:rsidRDefault="00E843CB" w:rsidP="00126BC8">
      <w:pPr>
        <w:jc w:val="both"/>
        <w:rPr>
          <w:color w:val="000000"/>
          <w:lang w:val="sr-Latn-CS"/>
        </w:rPr>
      </w:pPr>
    </w:p>
    <w:p w:rsidR="00E843CB" w:rsidRPr="00B4287C" w:rsidRDefault="00E843CB" w:rsidP="00947121">
      <w:pPr>
        <w:ind w:left="360"/>
        <w:outlineLvl w:val="3"/>
        <w:rPr>
          <w:b/>
          <w:bCs/>
          <w:i/>
          <w:iCs/>
          <w:color w:val="000000"/>
          <w:lang w:val="sr-Latn-CS"/>
        </w:rPr>
      </w:pPr>
      <w:r w:rsidRPr="00B4287C">
        <w:rPr>
          <w:b/>
          <w:bCs/>
          <w:i/>
          <w:iCs/>
          <w:color w:val="000000"/>
          <w:lang w:val="sr-Latn-CS"/>
        </w:rPr>
        <w:t xml:space="preserve">     </w:t>
      </w:r>
      <w:bookmarkStart w:id="77" w:name="_Toc318275290"/>
      <w:bookmarkStart w:id="78" w:name="_Toc319311053"/>
      <w:r w:rsidRPr="00B4287C">
        <w:rPr>
          <w:b/>
          <w:bCs/>
          <w:i/>
          <w:iCs/>
          <w:color w:val="000000"/>
          <w:lang w:val="sr-Latn-CS"/>
        </w:rPr>
        <w:t xml:space="preserve">4.1. </w:t>
      </w:r>
      <w:r>
        <w:rPr>
          <w:b/>
          <w:bCs/>
          <w:i/>
          <w:iCs/>
          <w:color w:val="000000"/>
          <w:lang w:val="sr-Latn-CS"/>
        </w:rPr>
        <w:t>Emitovanje bez autorskog prava</w:t>
      </w:r>
      <w:bookmarkEnd w:id="77"/>
      <w:bookmarkEnd w:id="78"/>
    </w:p>
    <w:p w:rsidR="00E843CB" w:rsidRPr="00B4287C" w:rsidRDefault="00E843CB" w:rsidP="00126BC8">
      <w:pPr>
        <w:ind w:left="360"/>
        <w:jc w:val="both"/>
        <w:outlineLvl w:val="0"/>
        <w:rPr>
          <w:i/>
          <w:iCs/>
          <w:color w:val="000000"/>
          <w:lang w:val="sr-Latn-CS"/>
        </w:rPr>
      </w:pPr>
    </w:p>
    <w:p w:rsidR="00E843CB" w:rsidRPr="00B4287C" w:rsidRDefault="00E843CB" w:rsidP="00126BC8">
      <w:pPr>
        <w:jc w:val="both"/>
        <w:rPr>
          <w:color w:val="000000"/>
          <w:lang w:val="sr-Latn-CS"/>
        </w:rPr>
      </w:pPr>
      <w:r>
        <w:rPr>
          <w:color w:val="000000"/>
          <w:lang w:val="sr-Latn-CS"/>
        </w:rPr>
        <w:t>Poštovanje autorskog prava je i tokom 2011. godine</w:t>
      </w:r>
      <w:r w:rsidRPr="00B4287C">
        <w:rPr>
          <w:color w:val="000000"/>
          <w:lang w:val="sr-Latn-CS"/>
        </w:rPr>
        <w:t xml:space="preserve"> </w:t>
      </w:r>
      <w:r>
        <w:rPr>
          <w:color w:val="000000"/>
          <w:lang w:val="sr-Latn-CS"/>
        </w:rPr>
        <w:t>predstavljalo glavni problem za medijsku industriju i regulatora. Nepostojanje odgovarajuće institucije za sprovođenje Zakona o autorskim i srodnim pravima koji je donet avgusta 2006. godine</w:t>
      </w:r>
      <w:r w:rsidRPr="00B4287C">
        <w:rPr>
          <w:color w:val="000000"/>
          <w:lang w:val="sr-Latn-CS"/>
        </w:rPr>
        <w:t>,</w:t>
      </w:r>
      <w:r>
        <w:rPr>
          <w:color w:val="000000"/>
          <w:lang w:val="sr-Latn-CS"/>
        </w:rPr>
        <w:t xml:space="preserve"> još više otežava rad NKM tako da je i tokom 2011. godine samo </w:t>
      </w:r>
      <w:r w:rsidRPr="00B4287C">
        <w:rPr>
          <w:color w:val="000000"/>
          <w:lang w:val="sr-Latn-CS"/>
        </w:rPr>
        <w:t xml:space="preserve"> </w:t>
      </w:r>
      <w:r>
        <w:rPr>
          <w:color w:val="000000"/>
          <w:lang w:val="sr-Latn-CS"/>
        </w:rPr>
        <w:t xml:space="preserve">NKM radila na pitanjima poštovanja autorskog prava od strane elektronskih medija. </w:t>
      </w:r>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 xml:space="preserve">Elektronski mediji su zajedno sa kablovskim operatorima i provajderima programskih usluga dužni da u skladu sa Opštim uslovima i pravilima licence NKM poštuju autorsko pravo i obezbede važeće ugovore o emitovanju i reemitovanju svih programa. </w:t>
      </w:r>
    </w:p>
    <w:p w:rsidR="00E843CB" w:rsidRPr="00B4287C" w:rsidRDefault="00E843CB" w:rsidP="00126BC8">
      <w:pPr>
        <w:jc w:val="both"/>
        <w:rPr>
          <w:color w:val="000000"/>
          <w:lang w:val="sr-Latn-CS"/>
        </w:rPr>
      </w:pPr>
      <w:r w:rsidRPr="00B4287C">
        <w:rPr>
          <w:color w:val="000000"/>
          <w:lang w:val="sr-Latn-CS"/>
        </w:rPr>
        <w:t xml:space="preserve"> </w:t>
      </w:r>
    </w:p>
    <w:p w:rsidR="00E843CB" w:rsidRPr="00B4287C" w:rsidRDefault="00E843CB" w:rsidP="00126BC8">
      <w:pPr>
        <w:pStyle w:val="CharChar1CharCharChar1Char"/>
        <w:spacing w:after="0" w:line="240" w:lineRule="auto"/>
        <w:ind w:left="360" w:hanging="360"/>
        <w:jc w:val="both"/>
        <w:rPr>
          <w:rFonts w:ascii="Times New Roman" w:hAnsi="Times New Roman" w:cs="Times New Roman"/>
          <w:color w:val="000000"/>
          <w:sz w:val="24"/>
          <w:szCs w:val="24"/>
          <w:lang w:val="sr-Latn-CS"/>
        </w:rPr>
      </w:pPr>
      <w:r w:rsidRPr="00B428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Zbog kršenja Opštih uslova i pravila licence je pokrenuto deset (10) predmeta protiv elektronskih medija, kablovskih operatora i provajdera programskih usluga, to jest protiv:</w:t>
      </w:r>
      <w:r w:rsidRPr="00B4287C">
        <w:rPr>
          <w:rFonts w:ascii="Times New Roman" w:hAnsi="Times New Roman" w:cs="Times New Roman"/>
          <w:color w:val="000000"/>
          <w:sz w:val="24"/>
          <w:szCs w:val="24"/>
          <w:lang w:val="sr-Latn-CS"/>
        </w:rPr>
        <w:t xml:space="preserve"> Kujtesa Net, K Film 2, IPKO, OK Eagle, Radio Kolasin, RTV Mir, TV Syri Vizion, TV Prizreni, Klan Kosova, TV Dukagjini </w:t>
      </w:r>
      <w:r>
        <w:rPr>
          <w:rFonts w:ascii="Times New Roman" w:hAnsi="Times New Roman" w:cs="Times New Roman"/>
          <w:color w:val="000000"/>
          <w:sz w:val="24"/>
          <w:szCs w:val="24"/>
          <w:lang w:val="sr-Latn-CS"/>
        </w:rPr>
        <w:t xml:space="preserve">koji su posle slanja Obaveštenja o kršenju i upozorenja zatvoreni, zato što su isti usaglasili svoju delatnost. </w:t>
      </w:r>
    </w:p>
    <w:p w:rsidR="00E843CB" w:rsidRPr="00B4287C" w:rsidRDefault="00E843CB" w:rsidP="00126BC8">
      <w:pPr>
        <w:jc w:val="both"/>
        <w:rPr>
          <w:color w:val="000000"/>
          <w:lang w:val="sr-Latn-CS"/>
        </w:rPr>
      </w:pPr>
      <w:r w:rsidRPr="00B4287C">
        <w:rPr>
          <w:color w:val="000000"/>
          <w:lang w:val="sr-Latn-CS"/>
        </w:rPr>
        <w:t xml:space="preserve">           </w:t>
      </w:r>
    </w:p>
    <w:p w:rsidR="00E843CB" w:rsidRPr="00B4287C" w:rsidRDefault="00E843CB" w:rsidP="00947121">
      <w:pPr>
        <w:ind w:left="360"/>
        <w:jc w:val="both"/>
        <w:outlineLvl w:val="3"/>
        <w:rPr>
          <w:b/>
          <w:bCs/>
          <w:i/>
          <w:iCs/>
          <w:color w:val="000000"/>
          <w:lang w:val="sr-Latn-CS"/>
        </w:rPr>
      </w:pPr>
      <w:r w:rsidRPr="00B4287C">
        <w:rPr>
          <w:i/>
          <w:iCs/>
          <w:color w:val="000000"/>
          <w:lang w:val="sr-Latn-CS"/>
        </w:rPr>
        <w:t xml:space="preserve">        </w:t>
      </w:r>
      <w:r w:rsidRPr="00B4287C">
        <w:rPr>
          <w:b/>
          <w:bCs/>
          <w:i/>
          <w:iCs/>
          <w:color w:val="000000"/>
          <w:lang w:val="sr-Latn-CS"/>
        </w:rPr>
        <w:t xml:space="preserve"> </w:t>
      </w:r>
      <w:bookmarkStart w:id="79" w:name="_Toc318275291"/>
      <w:bookmarkStart w:id="80" w:name="_Toc319311054"/>
      <w:r w:rsidRPr="00B4287C">
        <w:rPr>
          <w:b/>
          <w:bCs/>
          <w:i/>
          <w:iCs/>
          <w:color w:val="000000"/>
          <w:lang w:val="sr-Latn-CS"/>
        </w:rPr>
        <w:t xml:space="preserve">4.2.  </w:t>
      </w:r>
      <w:r>
        <w:rPr>
          <w:b/>
          <w:bCs/>
          <w:i/>
          <w:iCs/>
          <w:color w:val="000000"/>
          <w:lang w:val="sr-Latn-CS"/>
        </w:rPr>
        <w:t>Nevođenje arhive</w:t>
      </w:r>
      <w:bookmarkEnd w:id="79"/>
      <w:bookmarkEnd w:id="80"/>
      <w:r w:rsidRPr="00B4287C">
        <w:rPr>
          <w:b/>
          <w:bCs/>
          <w:i/>
          <w:iCs/>
          <w:color w:val="000000"/>
          <w:lang w:val="sr-Latn-CS"/>
        </w:rPr>
        <w:t xml:space="preserve"> </w:t>
      </w:r>
    </w:p>
    <w:p w:rsidR="00E843CB" w:rsidRPr="00B4287C" w:rsidRDefault="00E843CB" w:rsidP="00126BC8">
      <w:pPr>
        <w:jc w:val="both"/>
        <w:outlineLvl w:val="0"/>
        <w:rPr>
          <w:i/>
          <w:iCs/>
          <w:color w:val="000000"/>
          <w:lang w:val="sr-Latn-CS"/>
        </w:rPr>
      </w:pPr>
    </w:p>
    <w:p w:rsidR="00E843CB" w:rsidRPr="00B4287C" w:rsidRDefault="00E843CB" w:rsidP="00126BC8">
      <w:pPr>
        <w:jc w:val="both"/>
        <w:rPr>
          <w:color w:val="000000"/>
          <w:lang w:val="sr-Latn-CS"/>
        </w:rPr>
      </w:pPr>
      <w:r>
        <w:rPr>
          <w:color w:val="000000"/>
          <w:lang w:val="sr-Latn-CS"/>
        </w:rPr>
        <w:t xml:space="preserve">Nepodnošenje arhive programa na zahtev NKM je rezultiralo pokretanjem jednog (1) pravnog predmeta, protiv radio Dodone. Strana je po prijemu Obaveštenja o kršenju dostavila arhivu i predmet je zatvoren. </w:t>
      </w:r>
    </w:p>
    <w:p w:rsidR="00E843CB" w:rsidRPr="00B4287C" w:rsidRDefault="00E843CB" w:rsidP="00126BC8">
      <w:pPr>
        <w:jc w:val="both"/>
        <w:rPr>
          <w:color w:val="000000"/>
          <w:lang w:val="sr-Latn-CS"/>
        </w:rPr>
      </w:pPr>
    </w:p>
    <w:p w:rsidR="00E843CB" w:rsidRPr="00B4287C" w:rsidRDefault="00E843CB" w:rsidP="00947121">
      <w:pPr>
        <w:jc w:val="both"/>
        <w:outlineLvl w:val="3"/>
        <w:rPr>
          <w:b/>
          <w:bCs/>
          <w:i/>
          <w:iCs/>
          <w:color w:val="000000"/>
          <w:lang w:val="sr-Latn-CS"/>
        </w:rPr>
      </w:pPr>
      <w:r w:rsidRPr="00B4287C">
        <w:rPr>
          <w:b/>
          <w:bCs/>
          <w:i/>
          <w:iCs/>
          <w:color w:val="000000"/>
          <w:lang w:val="sr-Latn-CS"/>
        </w:rPr>
        <w:t xml:space="preserve">              </w:t>
      </w:r>
      <w:bookmarkStart w:id="81" w:name="_Toc319311055"/>
      <w:r w:rsidRPr="00B4287C">
        <w:rPr>
          <w:b/>
          <w:bCs/>
          <w:i/>
          <w:iCs/>
          <w:color w:val="000000"/>
          <w:lang w:val="sr-Latn-CS"/>
        </w:rPr>
        <w:t xml:space="preserve">4.3. </w:t>
      </w:r>
      <w:r>
        <w:rPr>
          <w:b/>
          <w:bCs/>
          <w:i/>
          <w:iCs/>
          <w:color w:val="000000"/>
          <w:lang w:val="sr-Latn-CS"/>
        </w:rPr>
        <w:t>Korišćenje frekvencija bez dozvole NKM</w:t>
      </w:r>
      <w:bookmarkEnd w:id="81"/>
    </w:p>
    <w:p w:rsidR="00E843CB"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 xml:space="preserve">Tokom 2011. godine se utvrdilo da je jedan (1) medij radio Bambus delovao u suprotnosti sa članom </w:t>
      </w:r>
      <w:r w:rsidRPr="00B4287C">
        <w:rPr>
          <w:color w:val="000000"/>
          <w:lang w:val="sr-Latn-CS"/>
        </w:rPr>
        <w:t xml:space="preserve">6.1 </w:t>
      </w:r>
      <w:r>
        <w:rPr>
          <w:color w:val="000000"/>
          <w:lang w:val="sr-Latn-CS"/>
        </w:rPr>
        <w:t>Osnovnih uslova i pravila licence koristeći frekvencije bez dozvole</w:t>
      </w:r>
      <w:r w:rsidRPr="00B4287C">
        <w:rPr>
          <w:color w:val="000000"/>
          <w:lang w:val="sr-Latn-CS"/>
        </w:rPr>
        <w:t xml:space="preserve">.    </w:t>
      </w:r>
    </w:p>
    <w:p w:rsidR="00E843CB" w:rsidRPr="00B4287C" w:rsidRDefault="00E843CB" w:rsidP="00126BC8">
      <w:pPr>
        <w:jc w:val="both"/>
        <w:rPr>
          <w:color w:val="000000"/>
          <w:lang w:val="sr-Latn-CS"/>
        </w:rPr>
      </w:pPr>
    </w:p>
    <w:p w:rsidR="00E843CB" w:rsidRPr="00B4287C" w:rsidRDefault="00E843CB" w:rsidP="00947121">
      <w:pPr>
        <w:jc w:val="both"/>
        <w:outlineLvl w:val="3"/>
        <w:rPr>
          <w:i/>
          <w:iCs/>
          <w:color w:val="000000"/>
          <w:lang w:val="sr-Latn-CS"/>
        </w:rPr>
      </w:pPr>
      <w:bookmarkStart w:id="82" w:name="_Toc319311056"/>
      <w:r w:rsidRPr="00B4287C">
        <w:rPr>
          <w:b/>
          <w:bCs/>
          <w:i/>
          <w:iCs/>
          <w:color w:val="000000"/>
          <w:lang w:val="sr-Latn-CS"/>
        </w:rPr>
        <w:t xml:space="preserve">5. </w:t>
      </w:r>
      <w:r>
        <w:rPr>
          <w:b/>
          <w:bCs/>
          <w:i/>
          <w:iCs/>
          <w:color w:val="000000"/>
          <w:lang w:val="sr-Latn-CS"/>
        </w:rPr>
        <w:t xml:space="preserve">Predmeti kršenja Uredbe SNKM </w:t>
      </w:r>
      <w:r w:rsidRPr="00B4287C">
        <w:rPr>
          <w:b/>
          <w:bCs/>
          <w:i/>
          <w:iCs/>
          <w:color w:val="000000"/>
          <w:lang w:val="sr-Latn-CS"/>
        </w:rPr>
        <w:t xml:space="preserve">2010/01 – </w:t>
      </w:r>
      <w:r>
        <w:rPr>
          <w:b/>
          <w:bCs/>
          <w:i/>
          <w:iCs/>
          <w:color w:val="000000"/>
          <w:lang w:val="sr-Latn-CS"/>
        </w:rPr>
        <w:t>neplaćanje takse za licencu</w:t>
      </w:r>
      <w:bookmarkEnd w:id="82"/>
      <w:r w:rsidRPr="00B4287C">
        <w:rPr>
          <w:b/>
          <w:bCs/>
          <w:i/>
          <w:iCs/>
          <w:color w:val="000000"/>
          <w:lang w:val="sr-Latn-CS"/>
        </w:rPr>
        <w:t xml:space="preserve"> </w:t>
      </w:r>
    </w:p>
    <w:p w:rsidR="00E843CB" w:rsidRPr="00B4287C" w:rsidRDefault="00E843CB" w:rsidP="00302B3A">
      <w:pPr>
        <w:jc w:val="both"/>
        <w:rPr>
          <w:color w:val="000000"/>
          <w:lang w:val="sr-Latn-CS"/>
        </w:rPr>
      </w:pPr>
    </w:p>
    <w:p w:rsidR="00E843CB" w:rsidRPr="00B4287C" w:rsidRDefault="00E843CB" w:rsidP="00126BC8">
      <w:pPr>
        <w:jc w:val="both"/>
        <w:rPr>
          <w:color w:val="000000"/>
          <w:lang w:val="sr-Latn-CS"/>
        </w:rPr>
      </w:pPr>
      <w:r>
        <w:rPr>
          <w:color w:val="000000"/>
          <w:lang w:val="sr-Latn-CS"/>
        </w:rPr>
        <w:t>Pravno odeljenje je tokom 2011. godine procesiralo osamdeset šest (86) predmeta ove vrste kršenja</w:t>
      </w:r>
      <w:r w:rsidRPr="00B4287C">
        <w:rPr>
          <w:color w:val="000000"/>
          <w:lang w:val="sr-Latn-CS"/>
        </w:rPr>
        <w:t>:</w:t>
      </w:r>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U 40 slučajeva NKM je poslala obaveštenje o kršenju, pismeno upozorenje i naredbu, čime su elektronski mediji i provajderi programskih usluga obavešteni da će im zbog neplaćanja takse biti oduzeta licenca. Po iscrpljivanju svih unutrašnjih pravnih sredstava od strane kancelarije NKM, 23 predmeta u vezi sa neplaćanjem takse su prosleđena Trgovinskom sudu za izvršenje</w:t>
      </w:r>
      <w:r w:rsidRPr="00B4287C">
        <w:rPr>
          <w:color w:val="000000"/>
          <w:lang w:val="sr-Latn-CS"/>
        </w:rPr>
        <w:t xml:space="preserve">. </w:t>
      </w:r>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46 ostalih medija je po prijemu obaveštenja o kršenju, pismenog upozorenja i naredbe je uplatilo taksu za licencu, pa su predmeti zatvoreni</w:t>
      </w:r>
      <w:r w:rsidRPr="00B4287C">
        <w:rPr>
          <w:color w:val="000000"/>
          <w:lang w:val="sr-Latn-CS"/>
        </w:rPr>
        <w:t>.</w:t>
      </w:r>
    </w:p>
    <w:p w:rsidR="00E843CB" w:rsidRPr="00B4287C" w:rsidRDefault="00E843CB" w:rsidP="00126BC8">
      <w:pPr>
        <w:jc w:val="both"/>
        <w:rPr>
          <w:b/>
          <w:bCs/>
          <w:color w:val="000000"/>
          <w:lang w:val="sr-Latn-CS"/>
        </w:rPr>
      </w:pPr>
    </w:p>
    <w:p w:rsidR="00E843CB" w:rsidRPr="00B4287C" w:rsidRDefault="00E843CB" w:rsidP="00947121">
      <w:pPr>
        <w:jc w:val="both"/>
        <w:outlineLvl w:val="3"/>
        <w:rPr>
          <w:b/>
          <w:bCs/>
          <w:i/>
          <w:iCs/>
          <w:color w:val="000000"/>
          <w:u w:val="single"/>
          <w:lang w:val="sr-Latn-CS"/>
        </w:rPr>
      </w:pPr>
      <w:r w:rsidRPr="00B4287C">
        <w:rPr>
          <w:b/>
          <w:bCs/>
          <w:color w:val="000000"/>
          <w:lang w:val="sr-Latn-CS"/>
        </w:rPr>
        <w:t xml:space="preserve"> </w:t>
      </w:r>
      <w:bookmarkStart w:id="83" w:name="_Toc319311057"/>
      <w:r w:rsidRPr="00B4287C">
        <w:rPr>
          <w:b/>
          <w:bCs/>
          <w:i/>
          <w:iCs/>
          <w:color w:val="000000"/>
          <w:lang w:val="sr-Latn-CS"/>
        </w:rPr>
        <w:t xml:space="preserve">6. </w:t>
      </w:r>
      <w:r>
        <w:rPr>
          <w:b/>
          <w:bCs/>
          <w:i/>
          <w:iCs/>
          <w:color w:val="000000"/>
          <w:lang w:val="sr-Latn-CS"/>
        </w:rPr>
        <w:t>Ostali proceduralni predmeti NKM tokom 2011. godine</w:t>
      </w:r>
      <w:bookmarkEnd w:id="83"/>
    </w:p>
    <w:p w:rsidR="00E843CB" w:rsidRPr="00B4287C" w:rsidRDefault="00E843CB" w:rsidP="00126BC8">
      <w:pPr>
        <w:jc w:val="both"/>
        <w:rPr>
          <w:color w:val="000000"/>
          <w:lang w:val="sr-Latn-CS"/>
        </w:rPr>
      </w:pPr>
    </w:p>
    <w:p w:rsidR="00E843CB" w:rsidRPr="00B4287C" w:rsidRDefault="00E843CB" w:rsidP="00126BC8">
      <w:pPr>
        <w:jc w:val="both"/>
        <w:rPr>
          <w:color w:val="000000"/>
          <w:lang w:val="sr-Latn-CS"/>
        </w:rPr>
      </w:pPr>
      <w:r>
        <w:rPr>
          <w:color w:val="000000"/>
          <w:lang w:val="sr-Latn-CS"/>
        </w:rPr>
        <w:t xml:space="preserve">Procesirano je šest </w:t>
      </w:r>
      <w:r w:rsidRPr="00B4287C">
        <w:rPr>
          <w:color w:val="000000"/>
          <w:lang w:val="sr-Latn-CS"/>
        </w:rPr>
        <w:t xml:space="preserve">(6) </w:t>
      </w:r>
      <w:r>
        <w:rPr>
          <w:color w:val="000000"/>
          <w:lang w:val="sr-Latn-CS"/>
        </w:rPr>
        <w:t>predmeta podnetih od strane fizičkih lica i različitih organizacija</w:t>
      </w:r>
    </w:p>
    <w:p w:rsidR="00E843CB" w:rsidRPr="00B4287C" w:rsidRDefault="00E843CB" w:rsidP="00126BC8">
      <w:pPr>
        <w:jc w:val="both"/>
        <w:rPr>
          <w:color w:val="000000"/>
          <w:lang w:val="sr-Latn-CS"/>
        </w:rPr>
      </w:pPr>
    </w:p>
    <w:p w:rsidR="00E843CB" w:rsidRPr="00C45EA2" w:rsidRDefault="00E843CB" w:rsidP="00C45EA2">
      <w:pPr>
        <w:pStyle w:val="ListParagraph"/>
        <w:numPr>
          <w:ilvl w:val="0"/>
          <w:numId w:val="26"/>
        </w:numPr>
        <w:tabs>
          <w:tab w:val="left" w:pos="180"/>
        </w:tabs>
        <w:ind w:left="180" w:hanging="180"/>
        <w:jc w:val="both"/>
        <w:rPr>
          <w:rFonts w:ascii="Times New Roman" w:hAnsi="Times New Roman" w:cs="Times New Roman"/>
          <w:color w:val="000000"/>
          <w:sz w:val="24"/>
          <w:szCs w:val="24"/>
          <w:lang w:val="sr-Latn-CS"/>
        </w:rPr>
      </w:pPr>
      <w:r w:rsidRPr="00C45EA2">
        <w:rPr>
          <w:rFonts w:ascii="Times New Roman" w:hAnsi="Times New Roman" w:cs="Times New Roman"/>
          <w:color w:val="000000"/>
          <w:sz w:val="24"/>
          <w:szCs w:val="24"/>
          <w:lang w:val="sr-Latn-CS"/>
        </w:rPr>
        <w:t>Prvi predmet se odnosi</w:t>
      </w:r>
      <w:r>
        <w:rPr>
          <w:rFonts w:ascii="Times New Roman" w:hAnsi="Times New Roman" w:cs="Times New Roman"/>
          <w:color w:val="000000"/>
          <w:sz w:val="24"/>
          <w:szCs w:val="24"/>
          <w:lang w:val="sr-Latn-CS"/>
        </w:rPr>
        <w:t>o</w:t>
      </w:r>
      <w:r w:rsidRPr="00C45EA2">
        <w:rPr>
          <w:rFonts w:ascii="Times New Roman" w:hAnsi="Times New Roman" w:cs="Times New Roman"/>
          <w:color w:val="000000"/>
          <w:sz w:val="24"/>
          <w:szCs w:val="24"/>
          <w:lang w:val="sr-Latn-CS"/>
        </w:rPr>
        <w:t xml:space="preserve"> na žalbu fizičkog lica protiv PPU Rrokum TV, za ne davanje prava na reagovanje i ispravku. NKM je odgovorila podnosiocu žalbe informišući ga da Rrokum TV nije prekršila član 12.1 Kodeksa o ponašanju audiovizuelnih medijskih servisa SNKM 2010/01. Predmet je zatvoren.</w:t>
      </w:r>
    </w:p>
    <w:p w:rsidR="00E843CB" w:rsidRPr="00C45EA2" w:rsidRDefault="00E843CB" w:rsidP="00126BC8">
      <w:pPr>
        <w:pStyle w:val="ListParagraph"/>
        <w:numPr>
          <w:ilvl w:val="0"/>
          <w:numId w:val="26"/>
        </w:numPr>
        <w:tabs>
          <w:tab w:val="left" w:pos="180"/>
        </w:tabs>
        <w:ind w:left="180" w:hanging="18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Drugi predmet se odnosio na žalbu političkog subjekta protiv elektronskog medija</w:t>
      </w:r>
      <w:r w:rsidRPr="00C45EA2">
        <w:rPr>
          <w:rFonts w:ascii="Times New Roman" w:hAnsi="Times New Roman" w:cs="Times New Roman"/>
          <w:color w:val="000000"/>
          <w:sz w:val="24"/>
          <w:szCs w:val="24"/>
          <w:lang w:val="sr-Latn-CS"/>
        </w:rPr>
        <w:t xml:space="preserve"> KTV, </w:t>
      </w:r>
      <w:r>
        <w:rPr>
          <w:rFonts w:ascii="Times New Roman" w:hAnsi="Times New Roman" w:cs="Times New Roman"/>
          <w:color w:val="000000"/>
          <w:sz w:val="24"/>
          <w:szCs w:val="24"/>
          <w:lang w:val="sr-Latn-CS"/>
        </w:rPr>
        <w:t xml:space="preserve">u žalbi se ističe zabrinutost zbog niza deformisanih informacija emitovanih protiv podnosioca žalbe. Nakon procene žalbe NKM je informisala podnosioca žalbe da elektronski medij KTV nije prekršio </w:t>
      </w:r>
      <w:r w:rsidRPr="00C45EA2">
        <w:rPr>
          <w:rFonts w:ascii="Times New Roman" w:hAnsi="Times New Roman" w:cs="Times New Roman"/>
          <w:color w:val="000000"/>
          <w:sz w:val="24"/>
          <w:szCs w:val="24"/>
          <w:lang w:val="sr-Latn-CS"/>
        </w:rPr>
        <w:t xml:space="preserve">Kodeks o ponašanju audiovizuelnih medijskih servisa SNKM 2010/01. Predmet je zatvoren. </w:t>
      </w:r>
    </w:p>
    <w:p w:rsidR="00E843CB" w:rsidRPr="00C45EA2" w:rsidRDefault="00E843CB" w:rsidP="00C45EA2">
      <w:pPr>
        <w:pStyle w:val="ListParagraph"/>
        <w:numPr>
          <w:ilvl w:val="0"/>
          <w:numId w:val="26"/>
        </w:numPr>
        <w:tabs>
          <w:tab w:val="left" w:pos="180"/>
        </w:tabs>
        <w:ind w:left="180" w:hanging="18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Treći predmet se odnosio na žalbu Službenika Ministarstva rada i socijalne zaštite protiv elektronskog medija KTV</w:t>
      </w:r>
      <w:r w:rsidRPr="00C45EA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zbog objavljivanja izveštaja od strane KTV koja nije sprovela pravilnu procenu pre objavljivanja tog materijala. Nakon procene žalbe NKM je informisala podnosioca žalbe da elektronski medij KTV nije prekršio </w:t>
      </w:r>
      <w:r w:rsidRPr="00C45EA2">
        <w:rPr>
          <w:rFonts w:ascii="Times New Roman" w:hAnsi="Times New Roman" w:cs="Times New Roman"/>
          <w:color w:val="000000"/>
          <w:sz w:val="24"/>
          <w:szCs w:val="24"/>
          <w:lang w:val="sr-Latn-CS"/>
        </w:rPr>
        <w:t>Kodeks o ponašanju audiovizuelnih medijskih servisa SNKM 2010/01. Predmet je zatvoren.</w:t>
      </w:r>
    </w:p>
    <w:p w:rsidR="00E843CB" w:rsidRPr="00C45EA2" w:rsidRDefault="00E843CB" w:rsidP="00C45EA2">
      <w:pPr>
        <w:pStyle w:val="ListParagraph"/>
        <w:numPr>
          <w:ilvl w:val="0"/>
          <w:numId w:val="26"/>
        </w:numPr>
        <w:tabs>
          <w:tab w:val="left" w:pos="180"/>
        </w:tabs>
        <w:ind w:left="180" w:hanging="18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Četvrti predmet se odnosio na žalbu fizičkog lica protiv elektronskog medija RTK. U žalbi se navodi da je RTK emitovala dve hronike tokom jutarnjeg programa i emisije centralnih vesti optužujući stranu da je bila uključena u aferu prevare i zloupotrebe novca u Institutu KIJAC</w:t>
      </w:r>
      <w:r w:rsidRPr="00C45EA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NKM je posle procene utvrdila da je RTK prekršila član </w:t>
      </w:r>
      <w:r w:rsidRPr="00C45EA2">
        <w:rPr>
          <w:rFonts w:ascii="Times New Roman" w:hAnsi="Times New Roman" w:cs="Times New Roman"/>
          <w:color w:val="000000"/>
          <w:sz w:val="24"/>
          <w:szCs w:val="24"/>
          <w:lang w:val="sr-Latn-CS"/>
        </w:rPr>
        <w:t>2.2,</w:t>
      </w:r>
      <w:r>
        <w:rPr>
          <w:rFonts w:ascii="Times New Roman" w:hAnsi="Times New Roman" w:cs="Times New Roman"/>
          <w:color w:val="000000"/>
          <w:sz w:val="24"/>
          <w:szCs w:val="24"/>
          <w:lang w:val="sr-Latn-CS"/>
        </w:rPr>
        <w:t xml:space="preserve"> </w:t>
      </w:r>
      <w:r w:rsidRPr="00C45EA2">
        <w:rPr>
          <w:rFonts w:ascii="Times New Roman" w:hAnsi="Times New Roman" w:cs="Times New Roman"/>
          <w:color w:val="000000"/>
          <w:sz w:val="24"/>
          <w:szCs w:val="24"/>
          <w:lang w:val="sr-Latn-CS"/>
        </w:rPr>
        <w:t xml:space="preserve">3.1, 5.3 </w:t>
      </w:r>
      <w:r>
        <w:rPr>
          <w:rFonts w:ascii="Times New Roman" w:hAnsi="Times New Roman" w:cs="Times New Roman"/>
          <w:color w:val="000000"/>
          <w:sz w:val="24"/>
          <w:szCs w:val="24"/>
          <w:lang w:val="sr-Latn-CS"/>
        </w:rPr>
        <w:t>i</w:t>
      </w:r>
      <w:r w:rsidRPr="00C45EA2">
        <w:rPr>
          <w:rFonts w:ascii="Times New Roman" w:hAnsi="Times New Roman" w:cs="Times New Roman"/>
          <w:color w:val="000000"/>
          <w:sz w:val="24"/>
          <w:szCs w:val="24"/>
          <w:lang w:val="sr-Latn-CS"/>
        </w:rPr>
        <w:t xml:space="preserve"> 5.7 </w:t>
      </w:r>
      <w:r>
        <w:rPr>
          <w:rFonts w:ascii="Times New Roman" w:hAnsi="Times New Roman" w:cs="Times New Roman"/>
          <w:color w:val="000000"/>
          <w:sz w:val="24"/>
          <w:szCs w:val="24"/>
          <w:lang w:val="sr-Latn-CS"/>
        </w:rPr>
        <w:t xml:space="preserve">Kodeksa </w:t>
      </w:r>
      <w:r w:rsidRPr="00C45EA2">
        <w:rPr>
          <w:rFonts w:ascii="Times New Roman" w:hAnsi="Times New Roman" w:cs="Times New Roman"/>
          <w:color w:val="000000"/>
          <w:sz w:val="24"/>
          <w:szCs w:val="24"/>
          <w:lang w:val="sr-Latn-CS"/>
        </w:rPr>
        <w:t>o ponašanju audiovizuelnih medijskih servisa SNKM 2010/01</w:t>
      </w:r>
      <w:r>
        <w:rPr>
          <w:rFonts w:ascii="Times New Roman" w:hAnsi="Times New Roman" w:cs="Times New Roman"/>
          <w:color w:val="000000"/>
          <w:sz w:val="24"/>
          <w:szCs w:val="24"/>
          <w:lang w:val="sr-Latn-CS"/>
        </w:rPr>
        <w:t>, nakon čega je RTK poslala dopis da u roku od tri dana ispravi vest emitovanu u jutarnjem programu i tokom emisije vesti.</w:t>
      </w:r>
      <w:r w:rsidRPr="00C45EA2">
        <w:rPr>
          <w:rFonts w:ascii="Times New Roman" w:hAnsi="Times New Roman" w:cs="Times New Roman"/>
          <w:color w:val="000000"/>
          <w:sz w:val="24"/>
          <w:szCs w:val="24"/>
          <w:lang w:val="sr-Latn-CS"/>
        </w:rPr>
        <w:t xml:space="preserve"> Predmet je zatvoren.</w:t>
      </w:r>
    </w:p>
    <w:p w:rsidR="00E843CB" w:rsidRPr="00C45EA2" w:rsidRDefault="00E843CB" w:rsidP="00C45EA2">
      <w:pPr>
        <w:pStyle w:val="ListParagraph"/>
        <w:numPr>
          <w:ilvl w:val="0"/>
          <w:numId w:val="26"/>
        </w:numPr>
        <w:tabs>
          <w:tab w:val="left" w:pos="180"/>
        </w:tabs>
        <w:ind w:left="180" w:hanging="18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Peti predmet se odnosio na žalbu Instituta KIPRED protiv elektronskog medija RTK. U žalbi se navodi da je RTK emitovala netačne i neistinite informacije delimično onemogućavajući pravo na reagovanje. NKM je nakon procene utvrdila da je RTK prekršila član </w:t>
      </w:r>
      <w:r w:rsidRPr="00C45EA2">
        <w:rPr>
          <w:rFonts w:ascii="Times New Roman" w:hAnsi="Times New Roman" w:cs="Times New Roman"/>
          <w:color w:val="000000"/>
          <w:sz w:val="24"/>
          <w:szCs w:val="24"/>
          <w:lang w:val="sr-Latn-CS"/>
        </w:rPr>
        <w:t>2.1,</w:t>
      </w:r>
      <w:r>
        <w:rPr>
          <w:rFonts w:ascii="Times New Roman" w:hAnsi="Times New Roman" w:cs="Times New Roman"/>
          <w:color w:val="000000"/>
          <w:sz w:val="24"/>
          <w:szCs w:val="24"/>
          <w:lang w:val="sr-Latn-CS"/>
        </w:rPr>
        <w:t xml:space="preserve"> 3.1,4.1,12.1 i</w:t>
      </w:r>
      <w:r w:rsidRPr="00C45EA2">
        <w:rPr>
          <w:rFonts w:ascii="Times New Roman" w:hAnsi="Times New Roman" w:cs="Times New Roman"/>
          <w:color w:val="000000"/>
          <w:sz w:val="24"/>
          <w:szCs w:val="24"/>
          <w:lang w:val="sr-Latn-CS"/>
        </w:rPr>
        <w:t xml:space="preserve"> 12.2 </w:t>
      </w:r>
      <w:r>
        <w:rPr>
          <w:rFonts w:ascii="Times New Roman" w:hAnsi="Times New Roman" w:cs="Times New Roman"/>
          <w:color w:val="000000"/>
          <w:sz w:val="24"/>
          <w:szCs w:val="24"/>
          <w:lang w:val="sr-Latn-CS"/>
        </w:rPr>
        <w:t xml:space="preserve">Kodeksa </w:t>
      </w:r>
      <w:r w:rsidRPr="00C45EA2">
        <w:rPr>
          <w:rFonts w:ascii="Times New Roman" w:hAnsi="Times New Roman" w:cs="Times New Roman"/>
          <w:color w:val="000000"/>
          <w:sz w:val="24"/>
          <w:szCs w:val="24"/>
          <w:lang w:val="sr-Latn-CS"/>
        </w:rPr>
        <w:t>o ponašanju audiovizuelnih medijskih servisa SNKM 2010/01</w:t>
      </w:r>
      <w:r>
        <w:rPr>
          <w:rFonts w:ascii="Times New Roman" w:hAnsi="Times New Roman" w:cs="Times New Roman"/>
          <w:color w:val="000000"/>
          <w:sz w:val="24"/>
          <w:szCs w:val="24"/>
          <w:lang w:val="sr-Latn-CS"/>
        </w:rPr>
        <w:t>, nakon čega je RTK poslala dopis</w:t>
      </w:r>
      <w:r w:rsidRPr="00C45EA2">
        <w:rPr>
          <w:rFonts w:ascii="Times New Roman" w:hAnsi="Times New Roman" w:cs="Times New Roman"/>
          <w:color w:val="000000"/>
          <w:sz w:val="24"/>
          <w:szCs w:val="24"/>
          <w:lang w:val="sr-Latn-CS"/>
        </w:rPr>
        <w:t>. Predmet je zatvoren.</w:t>
      </w:r>
    </w:p>
    <w:p w:rsidR="00E843CB" w:rsidRPr="00C45EA2" w:rsidRDefault="00E843CB" w:rsidP="00C45EA2">
      <w:pPr>
        <w:pStyle w:val="ListParagraph"/>
        <w:numPr>
          <w:ilvl w:val="0"/>
          <w:numId w:val="26"/>
        </w:numPr>
        <w:tabs>
          <w:tab w:val="left" w:pos="180"/>
        </w:tabs>
        <w:ind w:left="180" w:hanging="18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Šesti predmet se odnosio na žalbu fizičkog lica protiv novinara emisije Pravda na Kosovu koji se emituje na RTK. NKM je posle procene utvrdila da je zbog isteka zvaničnog roka od 21 dan, tokom kojeg su elektronski mediji dužni </w:t>
      </w:r>
      <w:r w:rsidRPr="00C45EA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da čuvaju arhivu emitovanog programa, bilo nemoguće razmotriti podnetu žalbu. NKM je podnosiocu poslala odgovor informišući ga da zbog isteka zvaničnog roka od 21 dan i u nedostatku evidencije o emitovanom programu  nije bila u mogućnosti da procesira žalbu.</w:t>
      </w:r>
      <w:r w:rsidRPr="00C45EA2">
        <w:rPr>
          <w:rFonts w:ascii="Times New Roman" w:hAnsi="Times New Roman" w:cs="Times New Roman"/>
          <w:sz w:val="24"/>
          <w:szCs w:val="24"/>
          <w:lang w:val="sr-Latn-CS"/>
        </w:rPr>
        <w:t xml:space="preserve"> </w:t>
      </w:r>
      <w:r w:rsidRPr="00C45EA2">
        <w:rPr>
          <w:rFonts w:ascii="Times New Roman" w:hAnsi="Times New Roman" w:cs="Times New Roman"/>
          <w:color w:val="000000"/>
          <w:sz w:val="24"/>
          <w:szCs w:val="24"/>
          <w:lang w:val="sr-Latn-CS"/>
        </w:rPr>
        <w:t>Predmet je zatvoren</w:t>
      </w:r>
      <w:r w:rsidRPr="00C45EA2">
        <w:rPr>
          <w:rFonts w:ascii="Times New Roman" w:hAnsi="Times New Roman" w:cs="Times New Roman"/>
          <w:sz w:val="24"/>
          <w:szCs w:val="24"/>
          <w:lang w:val="sr-Latn-CS"/>
        </w:rPr>
        <w:t>.</w:t>
      </w:r>
    </w:p>
    <w:p w:rsidR="00E843CB" w:rsidRPr="00B4287C" w:rsidRDefault="00E843CB" w:rsidP="00947121">
      <w:pPr>
        <w:jc w:val="center"/>
        <w:outlineLvl w:val="1"/>
        <w:rPr>
          <w:b/>
          <w:bCs/>
          <w:lang w:val="sr-Latn-CS"/>
        </w:rPr>
      </w:pPr>
      <w:bookmarkStart w:id="84" w:name="_Toc318275292"/>
    </w:p>
    <w:p w:rsidR="00E843CB" w:rsidRPr="00B4287C" w:rsidRDefault="00E843CB" w:rsidP="00947121">
      <w:pPr>
        <w:jc w:val="center"/>
        <w:outlineLvl w:val="1"/>
        <w:rPr>
          <w:b/>
          <w:bCs/>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p>
    <w:p w:rsidR="00E843CB" w:rsidRPr="00B4287C" w:rsidRDefault="00E843CB" w:rsidP="00947121">
      <w:pPr>
        <w:jc w:val="center"/>
        <w:outlineLvl w:val="1"/>
        <w:rPr>
          <w:b/>
          <w:bCs/>
          <w:sz w:val="28"/>
          <w:szCs w:val="28"/>
          <w:lang w:val="sr-Latn-CS"/>
        </w:rPr>
      </w:pPr>
      <w:bookmarkStart w:id="85" w:name="_Toc319311058"/>
      <w:r>
        <w:rPr>
          <w:b/>
          <w:bCs/>
          <w:sz w:val="28"/>
          <w:szCs w:val="28"/>
          <w:lang w:val="sr-Latn-CS"/>
        </w:rPr>
        <w:t>Odeljenje za upravljanje frekvencijama</w:t>
      </w:r>
      <w:bookmarkEnd w:id="85"/>
      <w:r>
        <w:rPr>
          <w:b/>
          <w:bCs/>
          <w:sz w:val="28"/>
          <w:szCs w:val="28"/>
          <w:lang w:val="sr-Latn-CS"/>
        </w:rPr>
        <w:t xml:space="preserve"> </w:t>
      </w:r>
      <w:bookmarkEnd w:id="84"/>
    </w:p>
    <w:p w:rsidR="00E843CB" w:rsidRPr="00B4287C" w:rsidRDefault="00E843CB" w:rsidP="002263CE">
      <w:pPr>
        <w:jc w:val="both"/>
        <w:rPr>
          <w:lang w:val="sr-Latn-CS"/>
        </w:rPr>
      </w:pPr>
    </w:p>
    <w:p w:rsidR="00E843CB" w:rsidRPr="00B4287C" w:rsidRDefault="00E843CB" w:rsidP="00947121">
      <w:pPr>
        <w:jc w:val="both"/>
        <w:outlineLvl w:val="2"/>
        <w:rPr>
          <w:b/>
          <w:bCs/>
          <w:i/>
          <w:iCs/>
          <w:lang w:val="sr-Latn-CS"/>
        </w:rPr>
      </w:pPr>
      <w:bookmarkStart w:id="86" w:name="_Toc319311059"/>
      <w:r>
        <w:rPr>
          <w:b/>
          <w:bCs/>
          <w:i/>
          <w:iCs/>
          <w:lang w:val="sr-Latn-CS"/>
        </w:rPr>
        <w:t>Analiza spektra frekvencija</w:t>
      </w:r>
      <w:bookmarkEnd w:id="86"/>
    </w:p>
    <w:p w:rsidR="00E843CB" w:rsidRPr="00B4287C" w:rsidRDefault="00E843CB" w:rsidP="002263CE">
      <w:pPr>
        <w:jc w:val="both"/>
        <w:rPr>
          <w:lang w:val="sr-Latn-CS"/>
        </w:rPr>
      </w:pPr>
    </w:p>
    <w:p w:rsidR="00E843CB" w:rsidRPr="00B4287C" w:rsidRDefault="00E843CB" w:rsidP="002263CE">
      <w:pPr>
        <w:jc w:val="both"/>
        <w:rPr>
          <w:lang w:val="sr-Latn-CS"/>
        </w:rPr>
      </w:pPr>
      <w:r>
        <w:rPr>
          <w:lang w:val="sr-Latn-CS"/>
        </w:rPr>
        <w:t>U periodu april – juli 2011. godine su monitorisane nacionalne, regionalne i lokalne radio-televizije u cilju procene saglasnosti sa zonom pokrića, odnosno drugim i četvrtim delom licence</w:t>
      </w:r>
      <w:r w:rsidRPr="00B4287C">
        <w:rPr>
          <w:lang w:val="sr-Latn-CS"/>
        </w:rPr>
        <w:t>.</w:t>
      </w:r>
    </w:p>
    <w:p w:rsidR="00E843CB" w:rsidRPr="00B4287C" w:rsidRDefault="00E843CB" w:rsidP="002263CE">
      <w:pPr>
        <w:jc w:val="both"/>
        <w:rPr>
          <w:lang w:val="sr-Latn-CS"/>
        </w:rPr>
      </w:pPr>
    </w:p>
    <w:p w:rsidR="00E843CB" w:rsidRPr="00B4287C" w:rsidRDefault="00E843CB" w:rsidP="002263CE">
      <w:pPr>
        <w:jc w:val="both"/>
        <w:rPr>
          <w:lang w:val="sr-Latn-CS"/>
        </w:rPr>
      </w:pPr>
      <w:r>
        <w:rPr>
          <w:lang w:val="sr-Latn-CS"/>
        </w:rPr>
        <w:t>Takođe su monitorisane i frekvencije radio-televizija koje koristi KFOR, UNMIK i međunarodne radio stanice za svoje potrebe.</w:t>
      </w:r>
    </w:p>
    <w:p w:rsidR="00E843CB" w:rsidRPr="00B4287C" w:rsidRDefault="00E843CB" w:rsidP="002263CE">
      <w:pPr>
        <w:jc w:val="both"/>
        <w:rPr>
          <w:lang w:val="sr-Latn-CS"/>
        </w:rPr>
      </w:pPr>
    </w:p>
    <w:p w:rsidR="00E843CB" w:rsidRPr="00B4287C" w:rsidRDefault="00E843CB" w:rsidP="002263CE">
      <w:pPr>
        <w:jc w:val="both"/>
        <w:rPr>
          <w:lang w:val="sr-Latn-CS"/>
        </w:rPr>
      </w:pPr>
      <w:r>
        <w:rPr>
          <w:lang w:val="sr-Latn-CS"/>
        </w:rPr>
        <w:t>Podaci kontrole i procene pokazuju da korišćenje spektra frekvencija na teritoriji Kosova nastavlja da bude isto kao i tokom 2010. godine</w:t>
      </w:r>
      <w:r w:rsidRPr="00B4287C">
        <w:rPr>
          <w:lang w:val="sr-Latn-CS"/>
        </w:rPr>
        <w:t xml:space="preserve">, </w:t>
      </w:r>
      <w:r>
        <w:rPr>
          <w:lang w:val="sr-Latn-CS"/>
        </w:rPr>
        <w:t>izuzev velikog broja radio i TV signala koji dolaze iz susednih zemalja (Srbije, Makedonije i Albanije</w:t>
      </w:r>
      <w:r w:rsidRPr="00B4287C">
        <w:rPr>
          <w:lang w:val="sr-Latn-CS"/>
        </w:rPr>
        <w:t xml:space="preserve">).    </w:t>
      </w:r>
    </w:p>
    <w:p w:rsidR="00E843CB" w:rsidRPr="00B4287C" w:rsidRDefault="00E843CB" w:rsidP="002263CE">
      <w:pPr>
        <w:jc w:val="both"/>
        <w:rPr>
          <w:lang w:val="sr-Latn-CS"/>
        </w:rPr>
      </w:pPr>
    </w:p>
    <w:p w:rsidR="00E843CB" w:rsidRPr="00B4287C" w:rsidRDefault="00E843CB" w:rsidP="00947121">
      <w:pPr>
        <w:outlineLvl w:val="2"/>
        <w:rPr>
          <w:b/>
          <w:bCs/>
          <w:i/>
          <w:iCs/>
          <w:lang w:val="sr-Latn-CS"/>
        </w:rPr>
      </w:pPr>
      <w:bookmarkStart w:id="87" w:name="_Toc319311060"/>
      <w:r>
        <w:rPr>
          <w:b/>
          <w:bCs/>
          <w:i/>
          <w:iCs/>
          <w:lang w:val="sr-Latn-CS"/>
        </w:rPr>
        <w:t>Pokrivanje televizijskim signalom na nacionalnom nivou</w:t>
      </w:r>
      <w:r w:rsidRPr="00B4287C">
        <w:rPr>
          <w:b/>
          <w:bCs/>
          <w:i/>
          <w:iCs/>
          <w:lang w:val="sr-Latn-CS"/>
        </w:rPr>
        <w:t xml:space="preserve"> (RTK, KTV, RTV21)</w:t>
      </w:r>
      <w:bookmarkEnd w:id="87"/>
    </w:p>
    <w:p w:rsidR="00E843CB" w:rsidRPr="00B4287C" w:rsidRDefault="00E843CB" w:rsidP="00302B3A">
      <w:pPr>
        <w:rPr>
          <w:b/>
          <w:bCs/>
          <w:lang w:val="sr-Latn-CS"/>
        </w:rPr>
      </w:pPr>
    </w:p>
    <w:p w:rsidR="00E843CB" w:rsidRPr="00B4287C" w:rsidRDefault="00E843CB" w:rsidP="002263CE">
      <w:pPr>
        <w:jc w:val="both"/>
        <w:rPr>
          <w:lang w:val="sr-Latn-CS"/>
        </w:rPr>
      </w:pPr>
      <w:r>
        <w:rPr>
          <w:lang w:val="sr-Latn-CS"/>
        </w:rPr>
        <w:t xml:space="preserve">Na osnovu terenskih analiza i merenja se utvrđuje da je pokrivanje TV i radio signalom od strane nacionalnih televizija veoma dobro, da nema smetnji i da je oblast služenja u saglasnosti sa drugim i četvrtim delom licence. Međutim, treba se još jednom istaći, iako je poznato iz prethodnih izveštaja, da pokrivanje čitave teritorije Kosova nije na zadovoljavajućem nivou, zato što je TV signalom pokriveno samo </w:t>
      </w:r>
      <w:r w:rsidRPr="00B4287C">
        <w:rPr>
          <w:lang w:val="sr-Latn-CS"/>
        </w:rPr>
        <w:t xml:space="preserve">62,7% </w:t>
      </w:r>
      <w:r>
        <w:rPr>
          <w:lang w:val="sr-Latn-CS"/>
        </w:rPr>
        <w:t>teritorije, dok su čitavi regioni kao što je Dragaš, Kačanik, Župa, Kamenica, Klina, Novo Brdo, Zvečan, Zubin Potok i Leposavić ostali van zone pokrića televizijskim signalom zbog stalnih problema sa aktiviranjem visoke tačke emitovanja na Golešu i neaktiviranja sekundarne mreže</w:t>
      </w:r>
      <w:r w:rsidRPr="00B4287C">
        <w:rPr>
          <w:lang w:val="sr-Latn-CS"/>
        </w:rPr>
        <w:t xml:space="preserve"> (</w:t>
      </w:r>
      <w:r>
        <w:rPr>
          <w:lang w:val="sr-Latn-CS"/>
        </w:rPr>
        <w:t>mreža televizijskih repetitora) za sekundarno pokriće</w:t>
      </w:r>
      <w:r w:rsidRPr="00B4287C">
        <w:rPr>
          <w:lang w:val="sr-Latn-CS"/>
        </w:rPr>
        <w:t>.</w:t>
      </w:r>
      <w:r>
        <w:rPr>
          <w:lang w:val="sr-Latn-CS"/>
        </w:rPr>
        <w:t xml:space="preserve"> NKM je o ovom problemu stalno informisala visoke državne organe Republike Kosovo, ističući značaj aktiviranja ove tačke televizijskog emitovanja. </w:t>
      </w:r>
    </w:p>
    <w:p w:rsidR="00E843CB" w:rsidRPr="00B4287C" w:rsidRDefault="00E843CB" w:rsidP="002263CE">
      <w:pPr>
        <w:jc w:val="both"/>
        <w:rPr>
          <w:lang w:val="sr-Latn-CS"/>
        </w:rPr>
      </w:pPr>
    </w:p>
    <w:p w:rsidR="00E843CB" w:rsidRPr="00B4287C" w:rsidRDefault="00E843CB" w:rsidP="002263CE">
      <w:pPr>
        <w:jc w:val="both"/>
        <w:rPr>
          <w:lang w:val="sr-Latn-CS"/>
        </w:rPr>
      </w:pPr>
      <w:r>
        <w:rPr>
          <w:lang w:val="sr-Latn-CS"/>
        </w:rPr>
        <w:t xml:space="preserve">Visoku tačku emitovanja Goleš trenutno koristi samo KFOR za FM radio emitovanje. Za pokrivanje veće teritorije televizijskim signalom je veoma značajno aktiviranje ove tačke. Tačka emitovanja Goleš je registrovana u ITU odnosno pominje se u svim međunarodnim ugovorima kao što su Stokholm </w:t>
      </w:r>
      <w:r w:rsidRPr="00B4287C">
        <w:rPr>
          <w:lang w:val="sr-Latn-CS"/>
        </w:rPr>
        <w:t xml:space="preserve">61, </w:t>
      </w:r>
      <w:r>
        <w:rPr>
          <w:lang w:val="sr-Latn-CS"/>
        </w:rPr>
        <w:t xml:space="preserve">Ženeva </w:t>
      </w:r>
      <w:r w:rsidRPr="00B4287C">
        <w:rPr>
          <w:lang w:val="sr-Latn-CS"/>
        </w:rPr>
        <w:t xml:space="preserve">84, 89 </w:t>
      </w:r>
      <w:r>
        <w:rPr>
          <w:lang w:val="sr-Latn-CS"/>
        </w:rPr>
        <w:t>i poslednji Ženeva</w:t>
      </w:r>
      <w:r w:rsidRPr="00B4287C">
        <w:rPr>
          <w:lang w:val="sr-Latn-CS"/>
        </w:rPr>
        <w:t xml:space="preserve"> 2006, </w:t>
      </w:r>
      <w:r>
        <w:rPr>
          <w:lang w:val="sr-Latn-CS"/>
        </w:rPr>
        <w:t xml:space="preserve">kao glavna tačka emitovanja na Kosovu, pa je kao takva rezervisana i međunarodno priznata kao tačka za emitovanje radio-televizijskog signala jakog zračenja. Aktiviranjem ove visoke tačke, Goleša, za emitovanje televizijskog signala će se povećati zona pokrića sa </w:t>
      </w:r>
      <w:r w:rsidRPr="00B4287C">
        <w:rPr>
          <w:lang w:val="sr-Latn-CS"/>
        </w:rPr>
        <w:t>62.7% (</w:t>
      </w:r>
      <w:r>
        <w:rPr>
          <w:lang w:val="sr-Latn-CS"/>
        </w:rPr>
        <w:t xml:space="preserve">zadovoljavajućim emitovanjem signala od </w:t>
      </w:r>
      <w:r w:rsidRPr="00B4287C">
        <w:rPr>
          <w:lang w:val="sr-Latn-CS"/>
        </w:rPr>
        <w:t xml:space="preserve">60 dBuV/m ) </w:t>
      </w:r>
      <w:r>
        <w:rPr>
          <w:lang w:val="sr-Latn-CS"/>
        </w:rPr>
        <w:t xml:space="preserve">na </w:t>
      </w:r>
      <w:r w:rsidRPr="00B4287C">
        <w:rPr>
          <w:lang w:val="sr-Latn-CS"/>
        </w:rPr>
        <w:t>80% t</w:t>
      </w:r>
      <w:r>
        <w:rPr>
          <w:lang w:val="sr-Latn-CS"/>
        </w:rPr>
        <w:t xml:space="preserve">eritorije Kosova, omogućiće se razvoj sekundarne mreže i postići će se više od </w:t>
      </w:r>
      <w:r w:rsidRPr="00B4287C">
        <w:rPr>
          <w:lang w:val="sr-Latn-CS"/>
        </w:rPr>
        <w:t xml:space="preserve">90% </w:t>
      </w:r>
      <w:r>
        <w:rPr>
          <w:lang w:val="sr-Latn-CS"/>
        </w:rPr>
        <w:t>pokrivenosti teritorije Kosova kvalitetnim televizijskim signalom</w:t>
      </w:r>
      <w:r w:rsidRPr="00B4287C">
        <w:rPr>
          <w:lang w:val="sr-Latn-CS"/>
        </w:rPr>
        <w:t>.</w:t>
      </w:r>
    </w:p>
    <w:p w:rsidR="00E843CB" w:rsidRPr="00B4287C" w:rsidRDefault="00E843CB" w:rsidP="002263CE">
      <w:pPr>
        <w:jc w:val="both"/>
        <w:rPr>
          <w:b/>
          <w:bCs/>
          <w:lang w:val="sr-Latn-CS"/>
        </w:rPr>
      </w:pPr>
    </w:p>
    <w:p w:rsidR="00E843CB" w:rsidRPr="00B4287C" w:rsidRDefault="00E843CB" w:rsidP="002F37DC">
      <w:pPr>
        <w:outlineLvl w:val="2"/>
        <w:rPr>
          <w:b/>
          <w:bCs/>
          <w:i/>
          <w:iCs/>
          <w:lang w:val="sr-Latn-CS"/>
        </w:rPr>
      </w:pPr>
      <w:bookmarkStart w:id="88" w:name="_Toc319311061"/>
      <w:r>
        <w:rPr>
          <w:b/>
          <w:bCs/>
          <w:i/>
          <w:iCs/>
          <w:lang w:val="sr-Latn-CS"/>
        </w:rPr>
        <w:t>Pokrivanje radio FM signalom na nacionalnom nivou</w:t>
      </w:r>
      <w:r w:rsidRPr="00B4287C">
        <w:rPr>
          <w:b/>
          <w:bCs/>
          <w:i/>
          <w:iCs/>
          <w:lang w:val="sr-Latn-CS"/>
        </w:rPr>
        <w:t xml:space="preserve"> (Radio Kosova, Radio Blue Sky, Radio 21 </w:t>
      </w:r>
      <w:r>
        <w:rPr>
          <w:b/>
          <w:bCs/>
          <w:i/>
          <w:iCs/>
          <w:lang w:val="sr-Latn-CS"/>
        </w:rPr>
        <w:t xml:space="preserve">i </w:t>
      </w:r>
      <w:r w:rsidRPr="00B4287C">
        <w:rPr>
          <w:b/>
          <w:bCs/>
          <w:i/>
          <w:iCs/>
          <w:lang w:val="sr-Latn-CS"/>
        </w:rPr>
        <w:t>Radio Dukagjini)</w:t>
      </w:r>
      <w:bookmarkEnd w:id="88"/>
    </w:p>
    <w:p w:rsidR="00E843CB" w:rsidRPr="00B4287C" w:rsidRDefault="00E843CB" w:rsidP="00552667">
      <w:pPr>
        <w:jc w:val="center"/>
        <w:rPr>
          <w:b/>
          <w:bCs/>
          <w:lang w:val="sr-Latn-CS"/>
        </w:rPr>
      </w:pPr>
    </w:p>
    <w:p w:rsidR="00E843CB" w:rsidRPr="00B4287C" w:rsidRDefault="00E843CB" w:rsidP="002263CE">
      <w:pPr>
        <w:jc w:val="both"/>
        <w:rPr>
          <w:lang w:val="sr-Latn-CS"/>
        </w:rPr>
      </w:pPr>
      <w:r>
        <w:rPr>
          <w:lang w:val="sr-Latn-CS"/>
        </w:rPr>
        <w:t>Radio FM signalom koji emituju elektronski mediji (</w:t>
      </w:r>
      <w:r w:rsidRPr="00B4287C">
        <w:rPr>
          <w:lang w:val="sr-Latn-CS"/>
        </w:rPr>
        <w:t>Radio Kosova, Radio Blue Sky, Radio 21</w:t>
      </w:r>
      <w:r>
        <w:rPr>
          <w:lang w:val="sr-Latn-CS"/>
        </w:rPr>
        <w:t xml:space="preserve"> i </w:t>
      </w:r>
      <w:r w:rsidRPr="00B4287C">
        <w:rPr>
          <w:lang w:val="sr-Latn-CS"/>
        </w:rPr>
        <w:t>Radio Dukagjini)</w:t>
      </w:r>
      <w:r>
        <w:rPr>
          <w:lang w:val="sr-Latn-CS"/>
        </w:rPr>
        <w:t xml:space="preserve"> je pokriveno 90% teritorije Kosova</w:t>
      </w:r>
      <w:r w:rsidRPr="00B4287C">
        <w:rPr>
          <w:lang w:val="sr-Latn-CS"/>
        </w:rPr>
        <w:t xml:space="preserve">, </w:t>
      </w:r>
      <w:r>
        <w:rPr>
          <w:lang w:val="sr-Latn-CS"/>
        </w:rPr>
        <w:t>zadovoljavajućim nivoom signala, izuzev nekoliko lokacija (brdsko-planinske oblasti) u kojima je signal slabiji</w:t>
      </w:r>
      <w:r w:rsidRPr="00B4287C">
        <w:rPr>
          <w:lang w:val="sr-Latn-CS"/>
        </w:rPr>
        <w:t>.</w:t>
      </w:r>
    </w:p>
    <w:p w:rsidR="00E843CB" w:rsidRPr="00B4287C" w:rsidRDefault="00E843CB" w:rsidP="002263CE">
      <w:pPr>
        <w:jc w:val="both"/>
        <w:rPr>
          <w:lang w:val="sr-Latn-CS"/>
        </w:rPr>
      </w:pPr>
    </w:p>
    <w:p w:rsidR="00E843CB" w:rsidRPr="00B4287C" w:rsidRDefault="00E843CB" w:rsidP="002F37DC">
      <w:pPr>
        <w:outlineLvl w:val="2"/>
        <w:rPr>
          <w:b/>
          <w:bCs/>
          <w:i/>
          <w:iCs/>
          <w:lang w:val="sr-Latn-CS"/>
        </w:rPr>
      </w:pPr>
      <w:bookmarkStart w:id="89" w:name="_Toc319311062"/>
      <w:r>
        <w:rPr>
          <w:b/>
          <w:bCs/>
          <w:i/>
          <w:iCs/>
          <w:lang w:val="sr-Latn-CS"/>
        </w:rPr>
        <w:t>Pokrivanje televizijskim signalom na regionalnom i lokalnom nivou</w:t>
      </w:r>
      <w:bookmarkEnd w:id="89"/>
    </w:p>
    <w:p w:rsidR="00E843CB" w:rsidRPr="00B4287C" w:rsidRDefault="00E843CB" w:rsidP="0033313D">
      <w:pPr>
        <w:pStyle w:val="NormalWeb"/>
        <w:rPr>
          <w:lang w:val="sr-Latn-CS"/>
        </w:rPr>
      </w:pPr>
      <w:r>
        <w:rPr>
          <w:lang w:val="sr-Latn-CS"/>
        </w:rPr>
        <w:t>Na osnovu terenskih analiza i merenja se procenjuje da je pokrivenost TV i radio signalom od strane elektronskih medija zadovoljavajuća i da nema smetnji za one lokacije koje su pokrivene. Zona pokrića je u potpunoj saglasnosti sa drugim i četvrtim delom licence</w:t>
      </w:r>
      <w:r w:rsidRPr="00B4287C">
        <w:rPr>
          <w:lang w:val="sr-Latn-CS"/>
        </w:rPr>
        <w:t xml:space="preserve">. </w:t>
      </w:r>
      <w:r>
        <w:rPr>
          <w:lang w:val="sr-Latn-CS"/>
        </w:rPr>
        <w:t>Regionalne i lokalne televizije pokrivaju oko</w:t>
      </w:r>
      <w:r w:rsidRPr="00B4287C">
        <w:rPr>
          <w:lang w:val="sr-Latn-CS"/>
        </w:rPr>
        <w:t xml:space="preserve"> </w:t>
      </w:r>
      <w:r w:rsidRPr="00B4287C">
        <w:rPr>
          <w:b/>
          <w:bCs/>
          <w:lang w:val="sr-Latn-CS"/>
        </w:rPr>
        <w:t>68.14%</w:t>
      </w:r>
      <w:r w:rsidRPr="00B4287C">
        <w:rPr>
          <w:lang w:val="sr-Latn-CS"/>
        </w:rPr>
        <w:t xml:space="preserve"> t</w:t>
      </w:r>
      <w:r>
        <w:rPr>
          <w:lang w:val="sr-Latn-CS"/>
        </w:rPr>
        <w:t xml:space="preserve">eritorije Kosova, dok lokalne i regionalne radio stanice pokrivaju oko </w:t>
      </w:r>
      <w:r w:rsidRPr="00B4287C">
        <w:rPr>
          <w:b/>
          <w:bCs/>
          <w:lang w:val="sr-Latn-CS"/>
        </w:rPr>
        <w:t>96.98%</w:t>
      </w:r>
      <w:r w:rsidRPr="00B4287C">
        <w:rPr>
          <w:lang w:val="sr-Latn-CS"/>
        </w:rPr>
        <w:t xml:space="preserve"> t</w:t>
      </w:r>
      <w:r>
        <w:rPr>
          <w:lang w:val="sr-Latn-CS"/>
        </w:rPr>
        <w:t>eritorije Kosova</w:t>
      </w:r>
      <w:r w:rsidRPr="00B4287C">
        <w:rPr>
          <w:lang w:val="sr-Latn-CS"/>
        </w:rPr>
        <w:t xml:space="preserve">. </w:t>
      </w:r>
    </w:p>
    <w:p w:rsidR="00E843CB" w:rsidRPr="00B4287C" w:rsidRDefault="00E843CB" w:rsidP="0033313D">
      <w:pPr>
        <w:pStyle w:val="NormalWeb"/>
        <w:rPr>
          <w:lang w:val="sr-Latn-CS"/>
        </w:rPr>
      </w:pPr>
      <w:r>
        <w:rPr>
          <w:lang w:val="sr-Latn-CS"/>
        </w:rPr>
        <w:t>U nastavku je priložena karta pokrića regionalnim/lokalnim televizijskim signalom na teritoriji Kosova</w:t>
      </w:r>
      <w:r w:rsidRPr="00B4287C">
        <w:rPr>
          <w:rStyle w:val="FootnoteReference"/>
          <w:lang w:val="sr-Latn-CS"/>
        </w:rPr>
        <w:footnoteReference w:id="11"/>
      </w:r>
      <w:r w:rsidRPr="00B4287C">
        <w:rPr>
          <w:lang w:val="sr-Latn-CS"/>
        </w:rPr>
        <w:t xml:space="preserve">. </w:t>
      </w:r>
    </w:p>
    <w:p w:rsidR="00E843CB" w:rsidRPr="00B4287C" w:rsidRDefault="00E843CB" w:rsidP="002263CE">
      <w:pPr>
        <w:jc w:val="both"/>
        <w:rPr>
          <w:lang w:val="sr-Latn-CS"/>
        </w:rPr>
      </w:pPr>
    </w:p>
    <w:p w:rsidR="00E843CB" w:rsidRPr="00B4287C" w:rsidRDefault="00E843CB" w:rsidP="00947121">
      <w:pPr>
        <w:outlineLvl w:val="3"/>
        <w:rPr>
          <w:b/>
          <w:bCs/>
          <w:i/>
          <w:iCs/>
          <w:lang w:val="sr-Latn-CS"/>
        </w:rPr>
      </w:pPr>
    </w:p>
    <w:p w:rsidR="00E843CB" w:rsidRPr="00B4287C" w:rsidRDefault="00E843CB" w:rsidP="00947121">
      <w:pPr>
        <w:outlineLvl w:val="3"/>
        <w:rPr>
          <w:b/>
          <w:bCs/>
          <w:i/>
          <w:iCs/>
          <w:lang w:val="sr-Latn-CS"/>
        </w:rPr>
      </w:pPr>
      <w:bookmarkStart w:id="90" w:name="_Toc319311063"/>
      <w:r>
        <w:rPr>
          <w:b/>
          <w:bCs/>
          <w:i/>
          <w:iCs/>
          <w:lang w:val="sr-Latn-CS"/>
        </w:rPr>
        <w:t>Slučajevi smetnji</w:t>
      </w:r>
      <w:bookmarkEnd w:id="90"/>
      <w:r>
        <w:rPr>
          <w:b/>
          <w:bCs/>
          <w:i/>
          <w:iCs/>
          <w:lang w:val="sr-Latn-CS"/>
        </w:rPr>
        <w:t xml:space="preserve"> </w:t>
      </w:r>
    </w:p>
    <w:p w:rsidR="00E843CB" w:rsidRPr="00B4287C" w:rsidRDefault="00E843CB" w:rsidP="002263CE">
      <w:pPr>
        <w:jc w:val="both"/>
        <w:rPr>
          <w:lang w:val="sr-Latn-CS"/>
        </w:rPr>
      </w:pPr>
      <w:r>
        <w:rPr>
          <w:lang w:val="sr-Latn-CS"/>
        </w:rPr>
        <w:t xml:space="preserve">OUF je tokom </w:t>
      </w:r>
      <w:r w:rsidRPr="00B4287C">
        <w:rPr>
          <w:lang w:val="sr-Latn-CS"/>
        </w:rPr>
        <w:t>2011</w:t>
      </w:r>
      <w:r>
        <w:rPr>
          <w:lang w:val="sr-Latn-CS"/>
        </w:rPr>
        <w:t>. godine</w:t>
      </w:r>
      <w:r w:rsidRPr="00B4287C">
        <w:rPr>
          <w:lang w:val="sr-Latn-CS"/>
        </w:rPr>
        <w:t xml:space="preserve"> </w:t>
      </w:r>
      <w:r>
        <w:rPr>
          <w:lang w:val="sr-Latn-CS"/>
        </w:rPr>
        <w:t>primilo samo dve žalbe o smetnjama. Detaljni izveštaji u vezi sa ove dve žalbe dovode do zaključka da nije bilo smetnji u frekvencijama podnosioca žalbi</w:t>
      </w:r>
      <w:r w:rsidRPr="00B4287C">
        <w:rPr>
          <w:lang w:val="sr-Latn-CS"/>
        </w:rPr>
        <w:t>:</w:t>
      </w:r>
    </w:p>
    <w:p w:rsidR="00E843CB" w:rsidRPr="00B4287C" w:rsidRDefault="00E843CB" w:rsidP="002263CE">
      <w:pPr>
        <w:jc w:val="both"/>
        <w:rPr>
          <w:lang w:val="sr-Latn-CS"/>
        </w:rPr>
      </w:pPr>
    </w:p>
    <w:p w:rsidR="00E843CB" w:rsidRPr="00B4287C" w:rsidRDefault="00E843CB" w:rsidP="002263CE">
      <w:pPr>
        <w:jc w:val="both"/>
        <w:rPr>
          <w:lang w:val="sr-Latn-CS"/>
        </w:rPr>
      </w:pPr>
      <w:r w:rsidRPr="00B4287C">
        <w:rPr>
          <w:lang w:val="sr-Latn-CS"/>
        </w:rPr>
        <w:t xml:space="preserve">-Radio Blue Sky, </w:t>
      </w:r>
      <w:r>
        <w:rPr>
          <w:lang w:val="sr-Latn-CS"/>
        </w:rPr>
        <w:t>smetnje izazvane od strane Radio Klan (Albanija) u regionu Prizrena</w:t>
      </w:r>
      <w:r w:rsidRPr="00B4287C">
        <w:rPr>
          <w:lang w:val="sr-Latn-CS"/>
        </w:rPr>
        <w:t>.</w:t>
      </w:r>
    </w:p>
    <w:p w:rsidR="00E843CB" w:rsidRPr="00B4287C" w:rsidRDefault="00E843CB" w:rsidP="002263CE">
      <w:pPr>
        <w:jc w:val="both"/>
        <w:rPr>
          <w:lang w:val="sr-Latn-CS"/>
        </w:rPr>
      </w:pPr>
      <w:r w:rsidRPr="00B4287C">
        <w:rPr>
          <w:lang w:val="sr-Latn-CS"/>
        </w:rPr>
        <w:t xml:space="preserve">-Radio Vala Rinore, </w:t>
      </w:r>
      <w:r>
        <w:rPr>
          <w:lang w:val="sr-Latn-CS"/>
        </w:rPr>
        <w:t xml:space="preserve">smetnje izazvane od strane </w:t>
      </w:r>
      <w:r w:rsidRPr="00B4287C">
        <w:rPr>
          <w:lang w:val="sr-Latn-CS"/>
        </w:rPr>
        <w:t>Radio D</w:t>
      </w:r>
      <w:r>
        <w:rPr>
          <w:lang w:val="sr-Latn-CS"/>
        </w:rPr>
        <w:t>W</w:t>
      </w:r>
      <w:r w:rsidRPr="00B4287C">
        <w:rPr>
          <w:lang w:val="sr-Latn-CS"/>
        </w:rPr>
        <w:t xml:space="preserve">, </w:t>
      </w:r>
      <w:r>
        <w:rPr>
          <w:lang w:val="sr-Latn-CS"/>
        </w:rPr>
        <w:t>gde je nakon procene zaključeno da je bilo problema tokom emitovanja a ne spoljašnjih smetnji</w:t>
      </w:r>
      <w:r w:rsidRPr="00B4287C">
        <w:rPr>
          <w:lang w:val="sr-Latn-CS"/>
        </w:rPr>
        <w:t>.</w:t>
      </w:r>
    </w:p>
    <w:p w:rsidR="00E843CB" w:rsidRPr="00B4287C" w:rsidRDefault="00E843CB" w:rsidP="00511E80">
      <w:pPr>
        <w:jc w:val="both"/>
        <w:rPr>
          <w:b/>
          <w:bCs/>
          <w:lang w:val="sr-Latn-CS"/>
        </w:rPr>
      </w:pPr>
    </w:p>
    <w:p w:rsidR="00E843CB" w:rsidRPr="00B4287C" w:rsidRDefault="00E843CB" w:rsidP="00947121">
      <w:pPr>
        <w:outlineLvl w:val="3"/>
        <w:rPr>
          <w:b/>
          <w:bCs/>
          <w:i/>
          <w:iCs/>
          <w:lang w:val="sr-Latn-CS"/>
        </w:rPr>
      </w:pPr>
      <w:bookmarkStart w:id="91" w:name="_Toc319311064"/>
      <w:r>
        <w:rPr>
          <w:b/>
          <w:bCs/>
          <w:i/>
          <w:iCs/>
          <w:lang w:val="sr-Latn-CS"/>
        </w:rPr>
        <w:t>Slučajevi emitovanja bez licence</w:t>
      </w:r>
      <w:bookmarkEnd w:id="91"/>
    </w:p>
    <w:p w:rsidR="00E843CB" w:rsidRPr="00B4287C" w:rsidRDefault="00E843CB" w:rsidP="00511E80">
      <w:pPr>
        <w:jc w:val="both"/>
        <w:rPr>
          <w:lang w:val="sr-Latn-CS"/>
        </w:rPr>
      </w:pPr>
      <w:r>
        <w:rPr>
          <w:lang w:val="sr-Latn-CS"/>
        </w:rPr>
        <w:t xml:space="preserve">OUF je procesirao samo jedan slučaj i to slučaj TV Most iz Zvečana, koja je i pored posedovanja licence NKM da emituje samo na kanalu 61 počela sa ilegalnim emitovanjem programa na druga dva televizijska kanala i to kanal </w:t>
      </w:r>
      <w:r w:rsidRPr="00B4287C">
        <w:rPr>
          <w:lang w:val="sr-Latn-CS"/>
        </w:rPr>
        <w:t xml:space="preserve">38 </w:t>
      </w:r>
      <w:r>
        <w:rPr>
          <w:lang w:val="sr-Latn-CS"/>
        </w:rPr>
        <w:t>i kanal</w:t>
      </w:r>
      <w:r w:rsidRPr="00B4287C">
        <w:rPr>
          <w:lang w:val="sr-Latn-CS"/>
        </w:rPr>
        <w:t xml:space="preserve"> 56.  </w:t>
      </w:r>
      <w:r>
        <w:rPr>
          <w:lang w:val="sr-Latn-CS"/>
        </w:rPr>
        <w:t xml:space="preserve">NKM je preduzela zakonske mere informišući TV da je korišćenje kanala </w:t>
      </w:r>
      <w:r w:rsidRPr="00B4287C">
        <w:rPr>
          <w:lang w:val="sr-Latn-CS"/>
        </w:rPr>
        <w:t xml:space="preserve">38 </w:t>
      </w:r>
      <w:r>
        <w:rPr>
          <w:lang w:val="sr-Latn-CS"/>
        </w:rPr>
        <w:t>i</w:t>
      </w:r>
      <w:r w:rsidRPr="00B4287C">
        <w:rPr>
          <w:lang w:val="sr-Latn-CS"/>
        </w:rPr>
        <w:t xml:space="preserve"> 56 </w:t>
      </w:r>
      <w:r>
        <w:rPr>
          <w:lang w:val="sr-Latn-CS"/>
        </w:rPr>
        <w:t>ilegalno, i zahtevala je prekid emitovanja programa na ovim kanalima</w:t>
      </w:r>
      <w:r w:rsidRPr="00B4287C">
        <w:rPr>
          <w:lang w:val="sr-Latn-CS"/>
        </w:rPr>
        <w:t xml:space="preserve">.  </w:t>
      </w:r>
    </w:p>
    <w:p w:rsidR="00E843CB" w:rsidRPr="00B4287C" w:rsidRDefault="00E843CB" w:rsidP="00511E80">
      <w:pPr>
        <w:jc w:val="both"/>
        <w:rPr>
          <w:lang w:val="sr-Latn-CS"/>
        </w:rPr>
      </w:pPr>
    </w:p>
    <w:p w:rsidR="00E843CB" w:rsidRPr="00B4287C" w:rsidRDefault="00E843CB" w:rsidP="00947121">
      <w:pPr>
        <w:jc w:val="both"/>
        <w:outlineLvl w:val="3"/>
        <w:rPr>
          <w:b/>
          <w:bCs/>
          <w:i/>
          <w:iCs/>
          <w:lang w:val="sr-Latn-CS"/>
        </w:rPr>
      </w:pPr>
      <w:bookmarkStart w:id="92" w:name="_Toc319311065"/>
      <w:r w:rsidRPr="00B4287C">
        <w:rPr>
          <w:b/>
          <w:bCs/>
          <w:i/>
          <w:iCs/>
          <w:lang w:val="sr-Latn-CS"/>
        </w:rPr>
        <w:t>Monitori</w:t>
      </w:r>
      <w:r>
        <w:rPr>
          <w:b/>
          <w:bCs/>
          <w:i/>
          <w:iCs/>
          <w:lang w:val="sr-Latn-CS"/>
        </w:rPr>
        <w:t>ng međunarodnih radio frekvencija</w:t>
      </w:r>
      <w:bookmarkEnd w:id="92"/>
    </w:p>
    <w:p w:rsidR="00E843CB" w:rsidRPr="00B4287C" w:rsidRDefault="00E843CB" w:rsidP="00511E80">
      <w:pPr>
        <w:jc w:val="both"/>
        <w:rPr>
          <w:lang w:val="sr-Latn-CS"/>
        </w:rPr>
      </w:pPr>
      <w:r>
        <w:rPr>
          <w:lang w:val="sr-Latn-CS"/>
        </w:rPr>
        <w:t>OUF je tokom 2011. godine</w:t>
      </w:r>
      <w:r w:rsidRPr="00B4287C">
        <w:rPr>
          <w:lang w:val="sr-Latn-CS"/>
        </w:rPr>
        <w:t xml:space="preserve"> </w:t>
      </w:r>
      <w:r>
        <w:rPr>
          <w:lang w:val="sr-Latn-CS"/>
        </w:rPr>
        <w:t>sprovodio monitoring radio-televizijskih frekvencija koje koriste KFOR, UNMIK i strane međunarodne radio stanice</w:t>
      </w:r>
      <w:r w:rsidRPr="00B4287C">
        <w:rPr>
          <w:lang w:val="sr-Latn-CS"/>
        </w:rPr>
        <w:t xml:space="preserve"> (D</w:t>
      </w:r>
      <w:r>
        <w:rPr>
          <w:lang w:val="sr-Latn-CS"/>
        </w:rPr>
        <w:t>W</w:t>
      </w:r>
      <w:r w:rsidRPr="00B4287C">
        <w:rPr>
          <w:lang w:val="sr-Latn-CS"/>
        </w:rPr>
        <w:t xml:space="preserve">, BBC </w:t>
      </w:r>
      <w:r>
        <w:rPr>
          <w:lang w:val="sr-Latn-CS"/>
        </w:rPr>
        <w:t>i Glas Amerike</w:t>
      </w:r>
      <w:r w:rsidRPr="00B4287C">
        <w:rPr>
          <w:lang w:val="sr-Latn-CS"/>
        </w:rPr>
        <w:t xml:space="preserve">)  </w:t>
      </w:r>
      <w:r>
        <w:rPr>
          <w:lang w:val="sr-Latn-CS"/>
        </w:rPr>
        <w:t xml:space="preserve">u cilju ažuriranja baze podatka NKM. </w:t>
      </w:r>
    </w:p>
    <w:p w:rsidR="00E843CB" w:rsidRPr="00B4287C" w:rsidRDefault="00E843CB" w:rsidP="00511E80">
      <w:pPr>
        <w:jc w:val="both"/>
        <w:rPr>
          <w:lang w:val="sr-Latn-CS"/>
        </w:rPr>
      </w:pPr>
    </w:p>
    <w:p w:rsidR="00E843CB" w:rsidRPr="00B4287C" w:rsidRDefault="00E843CB" w:rsidP="00511E80">
      <w:pPr>
        <w:jc w:val="both"/>
        <w:rPr>
          <w:lang w:val="sr-Latn-CS"/>
        </w:rPr>
      </w:pPr>
      <w:r w:rsidRPr="00B4287C">
        <w:rPr>
          <w:lang w:val="sr-Latn-CS"/>
        </w:rPr>
        <w:t>Frek</w:t>
      </w:r>
      <w:r>
        <w:rPr>
          <w:lang w:val="sr-Latn-CS"/>
        </w:rPr>
        <w:t>vencije koje koristi KFOR, UNMIK i strane radio stanice, nisu aplicirale za dugoročne licence i kao takve u budućnosti mogu predstavljati problem smetnji zbog neinstaliranja izlaznih filtera</w:t>
      </w:r>
      <w:r w:rsidRPr="00B4287C">
        <w:rPr>
          <w:lang w:val="sr-Latn-CS"/>
        </w:rPr>
        <w:t>.</w:t>
      </w:r>
    </w:p>
    <w:p w:rsidR="00E843CB" w:rsidRPr="00B4287C" w:rsidRDefault="00E843CB" w:rsidP="002263CE">
      <w:pPr>
        <w:jc w:val="both"/>
        <w:rPr>
          <w:b/>
          <w:bCs/>
          <w:lang w:val="sr-Latn-CS"/>
        </w:rPr>
      </w:pPr>
    </w:p>
    <w:p w:rsidR="00E843CB" w:rsidRPr="00B4287C" w:rsidRDefault="00E843CB" w:rsidP="002263CE">
      <w:pPr>
        <w:jc w:val="both"/>
        <w:rPr>
          <w:b/>
          <w:bCs/>
          <w:lang w:val="sr-Latn-CS"/>
        </w:rPr>
      </w:pPr>
    </w:p>
    <w:p w:rsidR="00E843CB" w:rsidRPr="00B4287C" w:rsidRDefault="00E843CB" w:rsidP="00947121">
      <w:pPr>
        <w:jc w:val="center"/>
        <w:outlineLvl w:val="1"/>
        <w:rPr>
          <w:b/>
          <w:bCs/>
          <w:color w:val="000000"/>
          <w:sz w:val="28"/>
          <w:szCs w:val="28"/>
          <w:lang w:val="sr-Latn-CS"/>
        </w:rPr>
      </w:pPr>
      <w:bookmarkStart w:id="93" w:name="_Toc318275293"/>
    </w:p>
    <w:p w:rsidR="00E843CB" w:rsidRPr="00B4287C" w:rsidRDefault="00E843CB" w:rsidP="00947121">
      <w:pPr>
        <w:jc w:val="center"/>
        <w:outlineLvl w:val="1"/>
        <w:rPr>
          <w:b/>
          <w:bCs/>
          <w:color w:val="000000"/>
          <w:sz w:val="28"/>
          <w:szCs w:val="28"/>
          <w:lang w:val="sr-Latn-CS"/>
        </w:rPr>
      </w:pPr>
      <w:bookmarkStart w:id="94" w:name="_Toc319311066"/>
      <w:r>
        <w:rPr>
          <w:b/>
          <w:bCs/>
          <w:color w:val="000000"/>
          <w:sz w:val="28"/>
          <w:szCs w:val="28"/>
          <w:lang w:val="sr-Latn-CS"/>
        </w:rPr>
        <w:t>ODELJENJE ADMINISTRACIJE I FINANSIJA</w:t>
      </w:r>
      <w:bookmarkEnd w:id="93"/>
      <w:bookmarkEnd w:id="94"/>
    </w:p>
    <w:p w:rsidR="00E843CB" w:rsidRDefault="00E843CB" w:rsidP="00947121">
      <w:pPr>
        <w:jc w:val="both"/>
        <w:outlineLvl w:val="2"/>
        <w:rPr>
          <w:b/>
          <w:bCs/>
          <w:i/>
          <w:iCs/>
          <w:color w:val="000000"/>
          <w:lang w:val="sr-Latn-CS"/>
        </w:rPr>
      </w:pPr>
      <w:bookmarkStart w:id="95" w:name="_Toc318275294"/>
    </w:p>
    <w:p w:rsidR="00E843CB" w:rsidRPr="00B4287C" w:rsidRDefault="00E843CB" w:rsidP="00947121">
      <w:pPr>
        <w:jc w:val="both"/>
        <w:outlineLvl w:val="2"/>
        <w:rPr>
          <w:b/>
          <w:bCs/>
          <w:i/>
          <w:iCs/>
          <w:color w:val="000000"/>
          <w:lang w:val="sr-Latn-CS"/>
        </w:rPr>
      </w:pPr>
      <w:bookmarkStart w:id="96" w:name="_Toc319311067"/>
      <w:r w:rsidRPr="00B4287C">
        <w:rPr>
          <w:b/>
          <w:bCs/>
          <w:i/>
          <w:iCs/>
          <w:color w:val="000000"/>
          <w:lang w:val="sr-Latn-CS"/>
        </w:rPr>
        <w:t>Bu</w:t>
      </w:r>
      <w:r>
        <w:rPr>
          <w:b/>
          <w:bCs/>
          <w:i/>
          <w:iCs/>
          <w:color w:val="000000"/>
          <w:lang w:val="sr-Latn-CS"/>
        </w:rPr>
        <w:t>džet</w:t>
      </w:r>
      <w:bookmarkEnd w:id="95"/>
      <w:bookmarkEnd w:id="96"/>
      <w:r w:rsidRPr="00B4287C">
        <w:rPr>
          <w:b/>
          <w:bCs/>
          <w:i/>
          <w:iCs/>
          <w:color w:val="000000"/>
          <w:lang w:val="sr-Latn-CS"/>
        </w:rPr>
        <w:t xml:space="preserve">   </w:t>
      </w:r>
    </w:p>
    <w:p w:rsidR="00E843CB" w:rsidRPr="00B4287C" w:rsidRDefault="00E843CB" w:rsidP="005D7F47">
      <w:pPr>
        <w:jc w:val="both"/>
        <w:outlineLvl w:val="0"/>
        <w:rPr>
          <w:color w:val="000000"/>
          <w:lang w:val="sr-Latn-CS"/>
        </w:rPr>
      </w:pPr>
    </w:p>
    <w:p w:rsidR="00E843CB" w:rsidRPr="00B4287C" w:rsidRDefault="00E843CB" w:rsidP="005D7F47">
      <w:pPr>
        <w:jc w:val="both"/>
        <w:outlineLvl w:val="0"/>
        <w:rPr>
          <w:color w:val="000000"/>
          <w:lang w:val="sr-Latn-CS"/>
        </w:rPr>
      </w:pPr>
      <w:bookmarkStart w:id="97" w:name="_Toc318275295"/>
      <w:bookmarkStart w:id="98" w:name="_Toc319311068"/>
      <w:r>
        <w:rPr>
          <w:color w:val="000000"/>
          <w:lang w:val="sr-Latn-CS"/>
        </w:rPr>
        <w:t>Nezavisna komisija za medije je budžetska organizacija koja se finansira iz budžeta Republike Kosovo. NKM je za 2011. godinu</w:t>
      </w:r>
      <w:r w:rsidRPr="00B4287C">
        <w:rPr>
          <w:color w:val="000000"/>
          <w:lang w:val="sr-Latn-CS"/>
        </w:rPr>
        <w:t xml:space="preserve"> </w:t>
      </w:r>
      <w:r>
        <w:rPr>
          <w:color w:val="000000"/>
          <w:lang w:val="sr-Latn-CS"/>
        </w:rPr>
        <w:t xml:space="preserve">određen budžet od </w:t>
      </w:r>
      <w:r w:rsidRPr="00B4287C">
        <w:rPr>
          <w:color w:val="000000"/>
          <w:lang w:val="sr-Latn-CS"/>
        </w:rPr>
        <w:t xml:space="preserve">901,939.00 </w:t>
      </w:r>
      <w:r>
        <w:rPr>
          <w:color w:val="000000"/>
          <w:lang w:val="sr-Latn-CS"/>
        </w:rPr>
        <w:t xml:space="preserve">evra, uključujući sopstvene prihode od </w:t>
      </w:r>
      <w:r w:rsidRPr="00B4287C">
        <w:rPr>
          <w:color w:val="000000"/>
          <w:lang w:val="sr-Latn-CS"/>
        </w:rPr>
        <w:t xml:space="preserve">212,000.00 </w:t>
      </w:r>
      <w:r>
        <w:rPr>
          <w:color w:val="000000"/>
          <w:lang w:val="sr-Latn-CS"/>
        </w:rPr>
        <w:t xml:space="preserve">evra i kapitalne investicije od </w:t>
      </w:r>
      <w:r w:rsidRPr="00B4287C">
        <w:rPr>
          <w:color w:val="000000"/>
          <w:lang w:val="sr-Latn-CS"/>
        </w:rPr>
        <w:t xml:space="preserve">450,000.00 </w:t>
      </w:r>
      <w:r>
        <w:rPr>
          <w:color w:val="000000"/>
          <w:lang w:val="sr-Latn-CS"/>
        </w:rPr>
        <w:t>evra</w:t>
      </w:r>
      <w:r w:rsidRPr="00B4287C">
        <w:rPr>
          <w:color w:val="000000"/>
          <w:lang w:val="sr-Latn-CS"/>
        </w:rPr>
        <w:t>.</w:t>
      </w:r>
      <w:bookmarkEnd w:id="97"/>
      <w:bookmarkEnd w:id="98"/>
    </w:p>
    <w:p w:rsidR="00E843CB" w:rsidRPr="00B4287C" w:rsidRDefault="00E843CB" w:rsidP="002263CE">
      <w:pPr>
        <w:autoSpaceDE w:val="0"/>
        <w:autoSpaceDN w:val="0"/>
        <w:adjustRightInd w:val="0"/>
        <w:jc w:val="both"/>
        <w:rPr>
          <w:color w:val="000000"/>
          <w:lang w:val="sr-Latn-CS"/>
        </w:rPr>
      </w:pPr>
    </w:p>
    <w:p w:rsidR="00E843CB" w:rsidRPr="00B4287C" w:rsidRDefault="00E843CB" w:rsidP="002263CE">
      <w:pPr>
        <w:jc w:val="both"/>
        <w:rPr>
          <w:lang w:val="sr-Latn-CS"/>
        </w:rPr>
      </w:pPr>
      <w:r>
        <w:rPr>
          <w:lang w:val="sr-Latn-CS"/>
        </w:rPr>
        <w:t>U periodu januar – decembar 2011. godine</w:t>
      </w:r>
      <w:r w:rsidRPr="00B4287C">
        <w:rPr>
          <w:lang w:val="sr-Latn-CS"/>
        </w:rPr>
        <w:t xml:space="preserve"> </w:t>
      </w:r>
      <w:r>
        <w:rPr>
          <w:lang w:val="sr-Latn-CS"/>
        </w:rPr>
        <w:t>Nezavisna komisija za medije je realizovala 89% budžeta.</w:t>
      </w:r>
    </w:p>
    <w:p w:rsidR="00E843CB" w:rsidRPr="00B4287C" w:rsidRDefault="00E843CB" w:rsidP="002263CE">
      <w:pPr>
        <w:autoSpaceDE w:val="0"/>
        <w:autoSpaceDN w:val="0"/>
        <w:adjustRightInd w:val="0"/>
        <w:jc w:val="both"/>
        <w:rPr>
          <w:color w:val="000000"/>
          <w:lang w:val="sr-Latn-CS"/>
        </w:rPr>
      </w:pPr>
    </w:p>
    <w:tbl>
      <w:tblPr>
        <w:tblW w:w="8960" w:type="dxa"/>
        <w:tblInd w:w="2" w:type="dxa"/>
        <w:tblLook w:val="0000"/>
      </w:tblPr>
      <w:tblGrid>
        <w:gridCol w:w="2267"/>
        <w:gridCol w:w="1448"/>
        <w:gridCol w:w="1246"/>
        <w:gridCol w:w="1569"/>
        <w:gridCol w:w="2430"/>
      </w:tblGrid>
      <w:tr w:rsidR="00E843CB" w:rsidRPr="00B4287C">
        <w:trPr>
          <w:trHeight w:val="315"/>
        </w:trPr>
        <w:tc>
          <w:tcPr>
            <w:tcW w:w="8960" w:type="dxa"/>
            <w:gridSpan w:val="5"/>
            <w:tcBorders>
              <w:top w:val="single" w:sz="4" w:space="0" w:color="auto"/>
              <w:left w:val="single" w:sz="4" w:space="0" w:color="auto"/>
              <w:bottom w:val="nil"/>
              <w:right w:val="single" w:sz="4" w:space="0" w:color="000000"/>
            </w:tcBorders>
            <w:noWrap/>
            <w:vAlign w:val="bottom"/>
          </w:tcPr>
          <w:p w:rsidR="00E843CB" w:rsidRPr="00B4287C" w:rsidRDefault="00E843CB" w:rsidP="00BD75BF">
            <w:pPr>
              <w:rPr>
                <w:b/>
                <w:bCs/>
                <w:lang w:val="sr-Latn-CS"/>
              </w:rPr>
            </w:pPr>
            <w:r w:rsidRPr="00B4287C">
              <w:rPr>
                <w:lang w:val="sr-Latn-CS"/>
              </w:rPr>
              <w:t xml:space="preserve">                      </w:t>
            </w:r>
            <w:r w:rsidRPr="00B4287C">
              <w:rPr>
                <w:b/>
                <w:bCs/>
                <w:lang w:val="sr-Latn-CS"/>
              </w:rPr>
              <w:t>Bu</w:t>
            </w:r>
            <w:r>
              <w:rPr>
                <w:b/>
                <w:bCs/>
                <w:lang w:val="sr-Latn-CS"/>
              </w:rPr>
              <w:t xml:space="preserve">džet Nezavisne komisije za medije za </w:t>
            </w:r>
            <w:r w:rsidRPr="00B4287C">
              <w:rPr>
                <w:b/>
                <w:bCs/>
                <w:lang w:val="sr-Latn-CS"/>
              </w:rPr>
              <w:t>2011</w:t>
            </w:r>
            <w:r>
              <w:rPr>
                <w:b/>
                <w:bCs/>
                <w:lang w:val="sr-Latn-CS"/>
              </w:rPr>
              <w:t>.</w:t>
            </w:r>
          </w:p>
        </w:tc>
      </w:tr>
      <w:tr w:rsidR="00E843CB" w:rsidRPr="00B4287C">
        <w:trPr>
          <w:trHeight w:val="255"/>
        </w:trPr>
        <w:tc>
          <w:tcPr>
            <w:tcW w:w="2267" w:type="dxa"/>
            <w:tcBorders>
              <w:top w:val="single" w:sz="4" w:space="0" w:color="auto"/>
              <w:left w:val="single" w:sz="4" w:space="0" w:color="auto"/>
              <w:bottom w:val="nil"/>
              <w:right w:val="nil"/>
            </w:tcBorders>
            <w:noWrap/>
            <w:vAlign w:val="bottom"/>
          </w:tcPr>
          <w:p w:rsidR="00E843CB" w:rsidRPr="00B4287C" w:rsidRDefault="00E843CB" w:rsidP="00BD75BF">
            <w:pPr>
              <w:rPr>
                <w:lang w:val="sr-Latn-CS"/>
              </w:rPr>
            </w:pPr>
            <w:r w:rsidRPr="00B4287C">
              <w:rPr>
                <w:lang w:val="sr-Latn-CS"/>
              </w:rPr>
              <w:t xml:space="preserve">          Kategori</w:t>
            </w:r>
            <w:r>
              <w:rPr>
                <w:lang w:val="sr-Latn-CS"/>
              </w:rPr>
              <w:t>je</w:t>
            </w:r>
          </w:p>
        </w:tc>
        <w:tc>
          <w:tcPr>
            <w:tcW w:w="1448" w:type="dxa"/>
            <w:tcBorders>
              <w:top w:val="single" w:sz="4" w:space="0" w:color="auto"/>
              <w:left w:val="single" w:sz="4" w:space="0" w:color="auto"/>
              <w:bottom w:val="nil"/>
              <w:right w:val="nil"/>
            </w:tcBorders>
            <w:noWrap/>
            <w:vAlign w:val="bottom"/>
          </w:tcPr>
          <w:p w:rsidR="00E843CB" w:rsidRPr="00B4287C" w:rsidRDefault="00E843CB" w:rsidP="002263CE">
            <w:pPr>
              <w:jc w:val="center"/>
              <w:rPr>
                <w:lang w:val="sr-Latn-CS"/>
              </w:rPr>
            </w:pPr>
            <w:r>
              <w:rPr>
                <w:lang w:val="sr-Latn-CS"/>
              </w:rPr>
              <w:t xml:space="preserve">Početni </w:t>
            </w:r>
          </w:p>
        </w:tc>
        <w:tc>
          <w:tcPr>
            <w:tcW w:w="1246" w:type="dxa"/>
            <w:tcBorders>
              <w:top w:val="single" w:sz="4" w:space="0" w:color="auto"/>
              <w:left w:val="single" w:sz="4" w:space="0" w:color="auto"/>
              <w:bottom w:val="nil"/>
              <w:right w:val="nil"/>
            </w:tcBorders>
            <w:noWrap/>
            <w:vAlign w:val="bottom"/>
          </w:tcPr>
          <w:p w:rsidR="00E843CB" w:rsidRPr="00B4287C" w:rsidRDefault="00E843CB" w:rsidP="002263CE">
            <w:pPr>
              <w:jc w:val="center"/>
              <w:rPr>
                <w:lang w:val="sr-Latn-CS"/>
              </w:rPr>
            </w:pPr>
            <w:r>
              <w:rPr>
                <w:lang w:val="sr-Latn-CS"/>
              </w:rPr>
              <w:t xml:space="preserve">Konačni </w:t>
            </w:r>
          </w:p>
        </w:tc>
        <w:tc>
          <w:tcPr>
            <w:tcW w:w="1569" w:type="dxa"/>
            <w:tcBorders>
              <w:top w:val="single" w:sz="4" w:space="0" w:color="auto"/>
              <w:left w:val="single" w:sz="4" w:space="0" w:color="auto"/>
              <w:bottom w:val="nil"/>
              <w:right w:val="nil"/>
            </w:tcBorders>
            <w:noWrap/>
            <w:vAlign w:val="bottom"/>
          </w:tcPr>
          <w:p w:rsidR="00E843CB" w:rsidRPr="00B4287C" w:rsidRDefault="00E843CB" w:rsidP="00BD75BF">
            <w:pPr>
              <w:jc w:val="center"/>
              <w:rPr>
                <w:lang w:val="sr-Latn-CS"/>
              </w:rPr>
            </w:pPr>
            <w:r>
              <w:rPr>
                <w:lang w:val="sr-Latn-CS"/>
              </w:rPr>
              <w:t xml:space="preserve">Potrošeni </w:t>
            </w:r>
            <w:r w:rsidRPr="00B4287C">
              <w:rPr>
                <w:lang w:val="sr-Latn-CS"/>
              </w:rPr>
              <w:t xml:space="preserve"> </w:t>
            </w:r>
          </w:p>
        </w:tc>
        <w:tc>
          <w:tcPr>
            <w:tcW w:w="2430" w:type="dxa"/>
            <w:tcBorders>
              <w:top w:val="single" w:sz="4" w:space="0" w:color="auto"/>
              <w:left w:val="single" w:sz="4" w:space="0" w:color="auto"/>
              <w:bottom w:val="nil"/>
              <w:right w:val="single" w:sz="4" w:space="0" w:color="auto"/>
            </w:tcBorders>
            <w:noWrap/>
            <w:vAlign w:val="bottom"/>
          </w:tcPr>
          <w:p w:rsidR="00E843CB" w:rsidRPr="00B4287C" w:rsidRDefault="00E843CB" w:rsidP="00BD75BF">
            <w:pPr>
              <w:jc w:val="center"/>
              <w:rPr>
                <w:lang w:val="sr-Latn-CS"/>
              </w:rPr>
            </w:pPr>
            <w:r>
              <w:rPr>
                <w:lang w:val="sr-Latn-CS"/>
              </w:rPr>
              <w:t>Preostali budžet</w:t>
            </w:r>
          </w:p>
        </w:tc>
      </w:tr>
      <w:tr w:rsidR="00E843CB" w:rsidRPr="00B4287C">
        <w:trPr>
          <w:trHeight w:val="255"/>
        </w:trPr>
        <w:tc>
          <w:tcPr>
            <w:tcW w:w="2267" w:type="dxa"/>
            <w:tcBorders>
              <w:top w:val="nil"/>
              <w:left w:val="single" w:sz="4" w:space="0" w:color="auto"/>
              <w:bottom w:val="single" w:sz="4" w:space="0" w:color="auto"/>
              <w:right w:val="nil"/>
            </w:tcBorders>
            <w:noWrap/>
            <w:vAlign w:val="bottom"/>
          </w:tcPr>
          <w:p w:rsidR="00E843CB" w:rsidRPr="00B4287C" w:rsidRDefault="00E843CB" w:rsidP="002263CE">
            <w:pPr>
              <w:rPr>
                <w:lang w:val="sr-Latn-CS"/>
              </w:rPr>
            </w:pPr>
            <w:r w:rsidRPr="00B4287C">
              <w:rPr>
                <w:lang w:val="sr-Latn-CS"/>
              </w:rPr>
              <w:t> </w:t>
            </w:r>
          </w:p>
        </w:tc>
        <w:tc>
          <w:tcPr>
            <w:tcW w:w="1448" w:type="dxa"/>
            <w:tcBorders>
              <w:top w:val="nil"/>
              <w:left w:val="single" w:sz="4" w:space="0" w:color="auto"/>
              <w:bottom w:val="single" w:sz="4" w:space="0" w:color="auto"/>
              <w:right w:val="nil"/>
            </w:tcBorders>
            <w:noWrap/>
            <w:vAlign w:val="bottom"/>
          </w:tcPr>
          <w:p w:rsidR="00E843CB" w:rsidRPr="00B4287C" w:rsidRDefault="00E843CB" w:rsidP="00BD75BF">
            <w:pPr>
              <w:jc w:val="center"/>
              <w:rPr>
                <w:lang w:val="sr-Latn-CS"/>
              </w:rPr>
            </w:pPr>
            <w:r>
              <w:rPr>
                <w:lang w:val="sr-Latn-CS"/>
              </w:rPr>
              <w:t>budžet</w:t>
            </w:r>
          </w:p>
        </w:tc>
        <w:tc>
          <w:tcPr>
            <w:tcW w:w="1246" w:type="dxa"/>
            <w:tcBorders>
              <w:top w:val="nil"/>
              <w:left w:val="single" w:sz="4" w:space="0" w:color="auto"/>
              <w:bottom w:val="single" w:sz="4" w:space="0" w:color="auto"/>
              <w:right w:val="nil"/>
            </w:tcBorders>
            <w:noWrap/>
            <w:vAlign w:val="bottom"/>
          </w:tcPr>
          <w:p w:rsidR="00E843CB" w:rsidRPr="00B4287C" w:rsidRDefault="00E843CB" w:rsidP="00BD75BF">
            <w:pPr>
              <w:jc w:val="center"/>
              <w:rPr>
                <w:lang w:val="sr-Latn-CS"/>
              </w:rPr>
            </w:pPr>
            <w:r>
              <w:rPr>
                <w:lang w:val="sr-Latn-CS"/>
              </w:rPr>
              <w:t>budžet</w:t>
            </w:r>
          </w:p>
        </w:tc>
        <w:tc>
          <w:tcPr>
            <w:tcW w:w="1569" w:type="dxa"/>
            <w:tcBorders>
              <w:top w:val="nil"/>
              <w:left w:val="single" w:sz="4" w:space="0" w:color="auto"/>
              <w:bottom w:val="single" w:sz="4" w:space="0" w:color="auto"/>
              <w:right w:val="nil"/>
            </w:tcBorders>
            <w:noWrap/>
            <w:vAlign w:val="bottom"/>
          </w:tcPr>
          <w:p w:rsidR="00E843CB" w:rsidRPr="00B4287C" w:rsidRDefault="00E843CB" w:rsidP="00BD75BF">
            <w:pPr>
              <w:jc w:val="center"/>
              <w:rPr>
                <w:lang w:val="sr-Latn-CS"/>
              </w:rPr>
            </w:pPr>
            <w:r>
              <w:rPr>
                <w:lang w:val="sr-Latn-CS"/>
              </w:rPr>
              <w:t>budžet</w:t>
            </w:r>
          </w:p>
        </w:tc>
        <w:tc>
          <w:tcPr>
            <w:tcW w:w="2430" w:type="dxa"/>
            <w:tcBorders>
              <w:top w:val="nil"/>
              <w:left w:val="single" w:sz="4" w:space="0" w:color="auto"/>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w:t>
            </w:r>
          </w:p>
        </w:tc>
      </w:tr>
      <w:tr w:rsidR="00E843CB" w:rsidRPr="00B4287C">
        <w:trPr>
          <w:trHeight w:val="270"/>
        </w:trPr>
        <w:tc>
          <w:tcPr>
            <w:tcW w:w="2267" w:type="dxa"/>
            <w:tcBorders>
              <w:top w:val="nil"/>
              <w:left w:val="single" w:sz="4" w:space="0" w:color="auto"/>
              <w:bottom w:val="single" w:sz="4" w:space="0" w:color="auto"/>
              <w:right w:val="single" w:sz="4" w:space="0" w:color="auto"/>
            </w:tcBorders>
            <w:noWrap/>
            <w:vAlign w:val="bottom"/>
          </w:tcPr>
          <w:p w:rsidR="00E843CB" w:rsidRPr="00B4287C" w:rsidRDefault="00E843CB" w:rsidP="002263CE">
            <w:pPr>
              <w:rPr>
                <w:lang w:val="sr-Latn-CS"/>
              </w:rPr>
            </w:pPr>
            <w:r>
              <w:rPr>
                <w:lang w:val="sr-Latn-CS"/>
              </w:rPr>
              <w:t>Plate i dnevnice</w:t>
            </w:r>
          </w:p>
        </w:tc>
        <w:tc>
          <w:tcPr>
            <w:tcW w:w="1448" w:type="dxa"/>
            <w:tcBorders>
              <w:top w:val="nil"/>
              <w:left w:val="nil"/>
              <w:bottom w:val="single" w:sz="4" w:space="0" w:color="auto"/>
              <w:right w:val="single" w:sz="4" w:space="0" w:color="auto"/>
            </w:tcBorders>
            <w:noWrap/>
            <w:vAlign w:val="bottom"/>
          </w:tcPr>
          <w:p w:rsidR="00E843CB" w:rsidRPr="00B4287C" w:rsidRDefault="00E843CB" w:rsidP="002263CE">
            <w:pPr>
              <w:jc w:val="right"/>
              <w:rPr>
                <w:lang w:val="sr-Latn-CS"/>
              </w:rPr>
            </w:pPr>
            <w:r w:rsidRPr="00B4287C">
              <w:rPr>
                <w:lang w:val="sr-Latn-CS"/>
              </w:rPr>
              <w:t>191,169</w:t>
            </w:r>
          </w:p>
        </w:tc>
        <w:tc>
          <w:tcPr>
            <w:tcW w:w="1246" w:type="dxa"/>
            <w:tcBorders>
              <w:top w:val="nil"/>
              <w:left w:val="nil"/>
              <w:bottom w:val="single" w:sz="4" w:space="0" w:color="auto"/>
              <w:right w:val="single" w:sz="4" w:space="0" w:color="auto"/>
            </w:tcBorders>
            <w:noWrap/>
            <w:vAlign w:val="bottom"/>
          </w:tcPr>
          <w:p w:rsidR="00E843CB" w:rsidRPr="00B4287C" w:rsidRDefault="00E843CB" w:rsidP="00633C61">
            <w:pPr>
              <w:jc w:val="center"/>
              <w:rPr>
                <w:lang w:val="sr-Latn-CS"/>
              </w:rPr>
            </w:pPr>
            <w:r w:rsidRPr="00B4287C">
              <w:rPr>
                <w:lang w:val="sr-Latn-CS"/>
              </w:rPr>
              <w:t xml:space="preserve">     225,169</w:t>
            </w:r>
          </w:p>
        </w:tc>
        <w:tc>
          <w:tcPr>
            <w:tcW w:w="1569"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224,456</w:t>
            </w:r>
          </w:p>
        </w:tc>
        <w:tc>
          <w:tcPr>
            <w:tcW w:w="2430"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713</w:t>
            </w:r>
          </w:p>
        </w:tc>
      </w:tr>
      <w:tr w:rsidR="00E843CB" w:rsidRPr="00B4287C">
        <w:trPr>
          <w:trHeight w:val="270"/>
        </w:trPr>
        <w:tc>
          <w:tcPr>
            <w:tcW w:w="2267" w:type="dxa"/>
            <w:tcBorders>
              <w:top w:val="nil"/>
              <w:left w:val="single" w:sz="4" w:space="0" w:color="auto"/>
              <w:bottom w:val="single" w:sz="4" w:space="0" w:color="auto"/>
              <w:right w:val="single" w:sz="4" w:space="0" w:color="auto"/>
            </w:tcBorders>
            <w:noWrap/>
            <w:vAlign w:val="bottom"/>
          </w:tcPr>
          <w:p w:rsidR="00E843CB" w:rsidRPr="00B4287C" w:rsidRDefault="00E843CB" w:rsidP="002263CE">
            <w:pPr>
              <w:rPr>
                <w:lang w:val="sr-Latn-CS"/>
              </w:rPr>
            </w:pPr>
            <w:r>
              <w:rPr>
                <w:lang w:val="sr-Latn-CS"/>
              </w:rPr>
              <w:t xml:space="preserve">Roba i usluge </w:t>
            </w:r>
          </w:p>
        </w:tc>
        <w:tc>
          <w:tcPr>
            <w:tcW w:w="1448" w:type="dxa"/>
            <w:tcBorders>
              <w:top w:val="nil"/>
              <w:left w:val="nil"/>
              <w:bottom w:val="single" w:sz="4" w:space="0" w:color="auto"/>
              <w:right w:val="single" w:sz="4" w:space="0" w:color="auto"/>
            </w:tcBorders>
            <w:noWrap/>
            <w:vAlign w:val="bottom"/>
          </w:tcPr>
          <w:p w:rsidR="00E843CB" w:rsidRPr="00B4287C" w:rsidRDefault="00E843CB" w:rsidP="002263CE">
            <w:pPr>
              <w:jc w:val="right"/>
              <w:rPr>
                <w:lang w:val="sr-Latn-CS"/>
              </w:rPr>
            </w:pPr>
            <w:r w:rsidRPr="00B4287C">
              <w:rPr>
                <w:lang w:val="sr-Latn-CS"/>
              </w:rPr>
              <w:t>243,270</w:t>
            </w:r>
          </w:p>
        </w:tc>
        <w:tc>
          <w:tcPr>
            <w:tcW w:w="1246"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240,270</w:t>
            </w:r>
          </w:p>
        </w:tc>
        <w:tc>
          <w:tcPr>
            <w:tcW w:w="1569"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237,142</w:t>
            </w:r>
          </w:p>
        </w:tc>
        <w:tc>
          <w:tcPr>
            <w:tcW w:w="2430"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3,128</w:t>
            </w:r>
          </w:p>
        </w:tc>
      </w:tr>
      <w:tr w:rsidR="00E843CB" w:rsidRPr="00B4287C">
        <w:trPr>
          <w:trHeight w:val="270"/>
        </w:trPr>
        <w:tc>
          <w:tcPr>
            <w:tcW w:w="2267" w:type="dxa"/>
            <w:tcBorders>
              <w:top w:val="nil"/>
              <w:left w:val="single" w:sz="4" w:space="0" w:color="auto"/>
              <w:bottom w:val="single" w:sz="4" w:space="0" w:color="auto"/>
              <w:right w:val="single" w:sz="4" w:space="0" w:color="auto"/>
            </w:tcBorders>
            <w:noWrap/>
            <w:vAlign w:val="bottom"/>
          </w:tcPr>
          <w:p w:rsidR="00E843CB" w:rsidRPr="00B4287C" w:rsidRDefault="00E843CB" w:rsidP="00BD75BF">
            <w:pPr>
              <w:rPr>
                <w:lang w:val="sr-Latn-CS"/>
              </w:rPr>
            </w:pPr>
            <w:r>
              <w:rPr>
                <w:lang w:val="sr-Latn-CS"/>
              </w:rPr>
              <w:t>Komunalije</w:t>
            </w:r>
          </w:p>
        </w:tc>
        <w:tc>
          <w:tcPr>
            <w:tcW w:w="1448" w:type="dxa"/>
            <w:tcBorders>
              <w:top w:val="nil"/>
              <w:left w:val="nil"/>
              <w:bottom w:val="single" w:sz="4" w:space="0" w:color="auto"/>
              <w:right w:val="single" w:sz="4" w:space="0" w:color="auto"/>
            </w:tcBorders>
            <w:noWrap/>
            <w:vAlign w:val="bottom"/>
          </w:tcPr>
          <w:p w:rsidR="00E843CB" w:rsidRPr="00B4287C" w:rsidRDefault="00E843CB" w:rsidP="002263CE">
            <w:pPr>
              <w:jc w:val="right"/>
              <w:rPr>
                <w:lang w:val="sr-Latn-CS"/>
              </w:rPr>
            </w:pPr>
            <w:r w:rsidRPr="00B4287C">
              <w:rPr>
                <w:lang w:val="sr-Latn-CS"/>
              </w:rPr>
              <w:t>17,000</w:t>
            </w:r>
          </w:p>
        </w:tc>
        <w:tc>
          <w:tcPr>
            <w:tcW w:w="1246"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20,500</w:t>
            </w:r>
          </w:p>
        </w:tc>
        <w:tc>
          <w:tcPr>
            <w:tcW w:w="1569"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18,495</w:t>
            </w:r>
          </w:p>
        </w:tc>
        <w:tc>
          <w:tcPr>
            <w:tcW w:w="2430"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2,005</w:t>
            </w:r>
          </w:p>
        </w:tc>
      </w:tr>
      <w:tr w:rsidR="00E843CB" w:rsidRPr="00B4287C">
        <w:trPr>
          <w:trHeight w:val="270"/>
        </w:trPr>
        <w:tc>
          <w:tcPr>
            <w:tcW w:w="2267" w:type="dxa"/>
            <w:tcBorders>
              <w:top w:val="nil"/>
              <w:left w:val="single" w:sz="4" w:space="0" w:color="auto"/>
              <w:bottom w:val="single" w:sz="4" w:space="0" w:color="auto"/>
              <w:right w:val="single" w:sz="4" w:space="0" w:color="auto"/>
            </w:tcBorders>
            <w:noWrap/>
            <w:vAlign w:val="bottom"/>
          </w:tcPr>
          <w:p w:rsidR="00E843CB" w:rsidRPr="00B4287C" w:rsidRDefault="00E843CB" w:rsidP="002263CE">
            <w:pPr>
              <w:rPr>
                <w:lang w:val="sr-Latn-CS"/>
              </w:rPr>
            </w:pPr>
            <w:r>
              <w:rPr>
                <w:lang w:val="sr-Latn-CS"/>
              </w:rPr>
              <w:t>Kapitalni rashodi</w:t>
            </w:r>
          </w:p>
        </w:tc>
        <w:tc>
          <w:tcPr>
            <w:tcW w:w="1448" w:type="dxa"/>
            <w:tcBorders>
              <w:top w:val="nil"/>
              <w:left w:val="nil"/>
              <w:bottom w:val="single" w:sz="4" w:space="0" w:color="auto"/>
              <w:right w:val="single" w:sz="4" w:space="0" w:color="auto"/>
            </w:tcBorders>
            <w:noWrap/>
            <w:vAlign w:val="bottom"/>
          </w:tcPr>
          <w:p w:rsidR="00E843CB" w:rsidRPr="00B4287C" w:rsidRDefault="00E843CB" w:rsidP="002263CE">
            <w:pPr>
              <w:jc w:val="right"/>
              <w:rPr>
                <w:lang w:val="sr-Latn-CS"/>
              </w:rPr>
            </w:pPr>
            <w:r w:rsidRPr="00B4287C">
              <w:rPr>
                <w:lang w:val="sr-Latn-CS"/>
              </w:rPr>
              <w:t>450,000</w:t>
            </w:r>
          </w:p>
        </w:tc>
        <w:tc>
          <w:tcPr>
            <w:tcW w:w="1246"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8,120</w:t>
            </w:r>
          </w:p>
        </w:tc>
        <w:tc>
          <w:tcPr>
            <w:tcW w:w="1569"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8,120</w:t>
            </w:r>
          </w:p>
        </w:tc>
        <w:tc>
          <w:tcPr>
            <w:tcW w:w="2430"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0.00</w:t>
            </w:r>
          </w:p>
        </w:tc>
      </w:tr>
      <w:tr w:rsidR="00E843CB" w:rsidRPr="00B4287C">
        <w:trPr>
          <w:trHeight w:val="270"/>
        </w:trPr>
        <w:tc>
          <w:tcPr>
            <w:tcW w:w="2267" w:type="dxa"/>
            <w:tcBorders>
              <w:top w:val="nil"/>
              <w:left w:val="single" w:sz="4" w:space="0" w:color="auto"/>
              <w:bottom w:val="single" w:sz="4" w:space="0" w:color="auto"/>
              <w:right w:val="single" w:sz="4" w:space="0" w:color="auto"/>
            </w:tcBorders>
            <w:noWrap/>
            <w:vAlign w:val="bottom"/>
          </w:tcPr>
          <w:p w:rsidR="00E843CB" w:rsidRPr="00B4287C" w:rsidRDefault="00E843CB" w:rsidP="002263CE">
            <w:pPr>
              <w:rPr>
                <w:lang w:val="sr-Latn-CS"/>
              </w:rPr>
            </w:pPr>
            <w:r>
              <w:rPr>
                <w:lang w:val="sr-Latn-CS"/>
              </w:rPr>
              <w:t xml:space="preserve">Prihodi </w:t>
            </w:r>
          </w:p>
        </w:tc>
        <w:tc>
          <w:tcPr>
            <w:tcW w:w="1448" w:type="dxa"/>
            <w:tcBorders>
              <w:top w:val="nil"/>
              <w:left w:val="nil"/>
              <w:bottom w:val="single" w:sz="4" w:space="0" w:color="auto"/>
              <w:right w:val="single" w:sz="4" w:space="0" w:color="auto"/>
            </w:tcBorders>
            <w:noWrap/>
            <w:vAlign w:val="bottom"/>
          </w:tcPr>
          <w:p w:rsidR="00E843CB" w:rsidRPr="00B4287C" w:rsidRDefault="00E843CB" w:rsidP="002263CE">
            <w:pPr>
              <w:jc w:val="right"/>
              <w:rPr>
                <w:lang w:val="sr-Latn-CS"/>
              </w:rPr>
            </w:pPr>
          </w:p>
        </w:tc>
        <w:tc>
          <w:tcPr>
            <w:tcW w:w="1246"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212,000</w:t>
            </w:r>
          </w:p>
        </w:tc>
        <w:tc>
          <w:tcPr>
            <w:tcW w:w="1569"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138,288</w:t>
            </w:r>
          </w:p>
        </w:tc>
        <w:tc>
          <w:tcPr>
            <w:tcW w:w="2430"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73,712</w:t>
            </w:r>
          </w:p>
        </w:tc>
      </w:tr>
      <w:tr w:rsidR="00E843CB" w:rsidRPr="00B4287C">
        <w:trPr>
          <w:trHeight w:val="270"/>
        </w:trPr>
        <w:tc>
          <w:tcPr>
            <w:tcW w:w="2267" w:type="dxa"/>
            <w:tcBorders>
              <w:top w:val="nil"/>
              <w:left w:val="single" w:sz="4" w:space="0" w:color="auto"/>
              <w:bottom w:val="single" w:sz="4" w:space="0" w:color="auto"/>
              <w:right w:val="single" w:sz="4" w:space="0" w:color="auto"/>
            </w:tcBorders>
            <w:noWrap/>
            <w:vAlign w:val="bottom"/>
          </w:tcPr>
          <w:p w:rsidR="00E843CB" w:rsidRPr="00B4287C" w:rsidRDefault="00E843CB" w:rsidP="002F37DC">
            <w:pPr>
              <w:rPr>
                <w:lang w:val="sr-Latn-CS"/>
              </w:rPr>
            </w:pPr>
            <w:r>
              <w:rPr>
                <w:lang w:val="sr-Latn-CS"/>
              </w:rPr>
              <w:t xml:space="preserve">Ukupno: </w:t>
            </w:r>
          </w:p>
        </w:tc>
        <w:tc>
          <w:tcPr>
            <w:tcW w:w="1448" w:type="dxa"/>
            <w:tcBorders>
              <w:top w:val="nil"/>
              <w:left w:val="nil"/>
              <w:bottom w:val="single" w:sz="4" w:space="0" w:color="auto"/>
              <w:right w:val="single" w:sz="4" w:space="0" w:color="auto"/>
            </w:tcBorders>
            <w:noWrap/>
            <w:vAlign w:val="bottom"/>
          </w:tcPr>
          <w:p w:rsidR="00E843CB" w:rsidRPr="00B4287C" w:rsidRDefault="00E843CB" w:rsidP="002263CE">
            <w:pPr>
              <w:jc w:val="right"/>
              <w:rPr>
                <w:lang w:val="sr-Latn-CS"/>
              </w:rPr>
            </w:pPr>
            <w:r w:rsidRPr="00B4287C">
              <w:rPr>
                <w:lang w:val="sr-Latn-CS"/>
              </w:rPr>
              <w:t>901,939</w:t>
            </w:r>
          </w:p>
        </w:tc>
        <w:tc>
          <w:tcPr>
            <w:tcW w:w="1246"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706,059</w:t>
            </w:r>
          </w:p>
        </w:tc>
        <w:tc>
          <w:tcPr>
            <w:tcW w:w="1569"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626,501</w:t>
            </w:r>
          </w:p>
        </w:tc>
        <w:tc>
          <w:tcPr>
            <w:tcW w:w="2430" w:type="dxa"/>
            <w:tcBorders>
              <w:top w:val="nil"/>
              <w:left w:val="nil"/>
              <w:bottom w:val="single" w:sz="4" w:space="0" w:color="auto"/>
              <w:right w:val="single" w:sz="4" w:space="0" w:color="auto"/>
            </w:tcBorders>
            <w:noWrap/>
            <w:vAlign w:val="bottom"/>
          </w:tcPr>
          <w:p w:rsidR="00E843CB" w:rsidRPr="00B4287C" w:rsidRDefault="00E843CB" w:rsidP="002263CE">
            <w:pPr>
              <w:jc w:val="center"/>
              <w:rPr>
                <w:lang w:val="sr-Latn-CS"/>
              </w:rPr>
            </w:pPr>
            <w:r w:rsidRPr="00B4287C">
              <w:rPr>
                <w:lang w:val="sr-Latn-CS"/>
              </w:rPr>
              <w:t xml:space="preserve">     79,558</w:t>
            </w:r>
          </w:p>
        </w:tc>
      </w:tr>
    </w:tbl>
    <w:p w:rsidR="00E843CB" w:rsidRPr="00B4287C" w:rsidRDefault="00E843CB" w:rsidP="002263CE">
      <w:pPr>
        <w:autoSpaceDE w:val="0"/>
        <w:autoSpaceDN w:val="0"/>
        <w:adjustRightInd w:val="0"/>
        <w:jc w:val="both"/>
        <w:rPr>
          <w:color w:val="000000"/>
          <w:lang w:val="sr-Latn-CS"/>
        </w:rPr>
      </w:pPr>
    </w:p>
    <w:p w:rsidR="00E843CB" w:rsidRPr="00B4287C" w:rsidRDefault="00E843CB" w:rsidP="002263CE">
      <w:pPr>
        <w:autoSpaceDE w:val="0"/>
        <w:autoSpaceDN w:val="0"/>
        <w:adjustRightInd w:val="0"/>
        <w:jc w:val="both"/>
        <w:rPr>
          <w:lang w:val="sr-Latn-CS"/>
        </w:rPr>
      </w:pPr>
      <w:r>
        <w:rPr>
          <w:color w:val="000000"/>
          <w:lang w:val="sr-Latn-CS"/>
        </w:rPr>
        <w:t>Od sopstvenih prihoda prikupljenih od taksi za licencu koju uplaćuju elektronski mediji je prikupljeno</w:t>
      </w:r>
      <w:r w:rsidRPr="00B4287C">
        <w:rPr>
          <w:color w:val="000000"/>
          <w:lang w:val="sr-Latn-CS"/>
        </w:rPr>
        <w:t xml:space="preserve"> 256,333.74 </w:t>
      </w:r>
      <w:r>
        <w:rPr>
          <w:color w:val="000000"/>
          <w:lang w:val="sr-Latn-CS"/>
        </w:rPr>
        <w:t>evra. Memorandumom o razumevanju sklopljenim između MF i NKM o korišćenju sredstava od taksi za licencu je odvojeno</w:t>
      </w:r>
      <w:r w:rsidRPr="00B4287C">
        <w:rPr>
          <w:color w:val="000000"/>
          <w:lang w:val="sr-Latn-CS"/>
        </w:rPr>
        <w:t xml:space="preserve"> 212,000.00 </w:t>
      </w:r>
      <w:r>
        <w:rPr>
          <w:color w:val="000000"/>
          <w:lang w:val="sr-Latn-CS"/>
        </w:rPr>
        <w:t xml:space="preserve">evra ili </w:t>
      </w:r>
      <w:r w:rsidRPr="00B4287C">
        <w:rPr>
          <w:color w:val="000000"/>
          <w:lang w:val="sr-Latn-CS"/>
        </w:rPr>
        <w:t xml:space="preserve">82.7 %. </w:t>
      </w:r>
      <w:r>
        <w:rPr>
          <w:color w:val="000000"/>
          <w:lang w:val="sr-Latn-CS"/>
        </w:rPr>
        <w:t xml:space="preserve">Cilj sporazuma o korišćenju sredstava od sopstvenih prihoda je bio finansiranje aktivnosti realizacije projekta izrade strategije za prelazak sa analognog na digitalno emitovanje. </w:t>
      </w:r>
    </w:p>
    <w:p w:rsidR="00E843CB" w:rsidRPr="00B4287C" w:rsidRDefault="00E843CB" w:rsidP="002263CE">
      <w:pPr>
        <w:autoSpaceDE w:val="0"/>
        <w:autoSpaceDN w:val="0"/>
        <w:adjustRightInd w:val="0"/>
        <w:jc w:val="both"/>
        <w:rPr>
          <w:lang w:val="sr-Latn-CS"/>
        </w:rPr>
      </w:pPr>
    </w:p>
    <w:p w:rsidR="00E843CB" w:rsidRPr="00B4287C" w:rsidRDefault="00E843CB" w:rsidP="002263CE">
      <w:pPr>
        <w:autoSpaceDE w:val="0"/>
        <w:autoSpaceDN w:val="0"/>
        <w:adjustRightInd w:val="0"/>
        <w:jc w:val="both"/>
        <w:rPr>
          <w:color w:val="000000"/>
          <w:lang w:val="sr-Latn-CS"/>
        </w:rPr>
      </w:pPr>
      <w:r>
        <w:rPr>
          <w:lang w:val="sr-Latn-CS"/>
        </w:rPr>
        <w:t xml:space="preserve">Tokom izvršenja odluka o sankcijama izrečenim od strane Saveta NKM je prikupljeno </w:t>
      </w:r>
      <w:r w:rsidRPr="00B4287C">
        <w:rPr>
          <w:lang w:val="sr-Latn-CS"/>
        </w:rPr>
        <w:t xml:space="preserve">50,000.00 </w:t>
      </w:r>
      <w:r>
        <w:rPr>
          <w:lang w:val="sr-Latn-CS"/>
        </w:rPr>
        <w:t xml:space="preserve">evra. Sredstava od kazni se ulivaju u budžet Republike Kosovo, u skladu sa članom </w:t>
      </w:r>
      <w:r w:rsidRPr="00B4287C">
        <w:rPr>
          <w:lang w:val="sr-Latn-CS"/>
        </w:rPr>
        <w:t xml:space="preserve">20.4 </w:t>
      </w:r>
      <w:r>
        <w:rPr>
          <w:lang w:val="sr-Latn-CS"/>
        </w:rPr>
        <w:t>Zakona o NKM</w:t>
      </w:r>
      <w:r w:rsidRPr="00B4287C">
        <w:rPr>
          <w:lang w:val="sr-Latn-CS"/>
        </w:rPr>
        <w:t xml:space="preserve">. </w:t>
      </w:r>
    </w:p>
    <w:p w:rsidR="00E843CB" w:rsidRPr="00B4287C" w:rsidRDefault="00E843CB" w:rsidP="002263CE">
      <w:pPr>
        <w:tabs>
          <w:tab w:val="left" w:pos="1080"/>
        </w:tabs>
        <w:jc w:val="both"/>
        <w:rPr>
          <w:color w:val="000000"/>
          <w:lang w:val="sr-Latn-CS"/>
        </w:rPr>
      </w:pPr>
    </w:p>
    <w:p w:rsidR="00E843CB" w:rsidRPr="00B4287C" w:rsidRDefault="00E843CB" w:rsidP="002263CE">
      <w:pPr>
        <w:tabs>
          <w:tab w:val="left" w:pos="1080"/>
        </w:tabs>
        <w:jc w:val="both"/>
        <w:rPr>
          <w:lang w:val="sr-Latn-CS"/>
        </w:rPr>
      </w:pPr>
      <w:r>
        <w:rPr>
          <w:color w:val="000000"/>
          <w:lang w:val="sr-Latn-CS"/>
        </w:rPr>
        <w:t>NKM je tokom 2011. godine</w:t>
      </w:r>
      <w:r w:rsidRPr="00B4287C">
        <w:rPr>
          <w:color w:val="000000"/>
          <w:lang w:val="sr-Latn-CS"/>
        </w:rPr>
        <w:t xml:space="preserve"> </w:t>
      </w:r>
      <w:r>
        <w:rPr>
          <w:color w:val="000000"/>
          <w:lang w:val="sr-Latn-CS"/>
        </w:rPr>
        <w:t xml:space="preserve">dobila i sredstva za kapitalni projekat izgradnje objekta za NKM u iznosu od </w:t>
      </w:r>
      <w:r w:rsidRPr="00B4287C">
        <w:rPr>
          <w:lang w:val="sr-Latn-CS"/>
        </w:rPr>
        <w:t xml:space="preserve">450,000.00 </w:t>
      </w:r>
      <w:r>
        <w:rPr>
          <w:lang w:val="sr-Latn-CS"/>
        </w:rPr>
        <w:t xml:space="preserve">evra.  Rok za realizaciju projekta je dve godine </w:t>
      </w:r>
      <w:r w:rsidRPr="00B4287C">
        <w:rPr>
          <w:lang w:val="sr-Latn-CS"/>
        </w:rPr>
        <w:t xml:space="preserve">(2011 – 2012) </w:t>
      </w:r>
      <w:r>
        <w:rPr>
          <w:lang w:val="sr-Latn-CS"/>
        </w:rPr>
        <w:t xml:space="preserve">u opštem iznosu od </w:t>
      </w:r>
      <w:r w:rsidRPr="00B4287C">
        <w:rPr>
          <w:lang w:val="sr-Latn-CS"/>
        </w:rPr>
        <w:t xml:space="preserve">690,000.00 </w:t>
      </w:r>
      <w:r>
        <w:rPr>
          <w:lang w:val="sr-Latn-CS"/>
        </w:rPr>
        <w:t xml:space="preserve">evra </w:t>
      </w:r>
      <w:r w:rsidRPr="00B4287C">
        <w:rPr>
          <w:lang w:val="sr-Latn-CS"/>
        </w:rPr>
        <w:t>(</w:t>
      </w:r>
      <w:r>
        <w:rPr>
          <w:lang w:val="sr-Latn-CS"/>
        </w:rPr>
        <w:t xml:space="preserve">za 2011. godinu je predviđen iznos od </w:t>
      </w:r>
      <w:r w:rsidRPr="00B4287C">
        <w:rPr>
          <w:lang w:val="sr-Latn-CS"/>
        </w:rPr>
        <w:t xml:space="preserve">450,000.00 </w:t>
      </w:r>
      <w:r>
        <w:rPr>
          <w:lang w:val="sr-Latn-CS"/>
        </w:rPr>
        <w:t xml:space="preserve">evra, a za </w:t>
      </w:r>
      <w:r w:rsidRPr="00B4287C">
        <w:rPr>
          <w:lang w:val="sr-Latn-CS"/>
        </w:rPr>
        <w:t>2012</w:t>
      </w:r>
      <w:r>
        <w:rPr>
          <w:lang w:val="sr-Latn-CS"/>
        </w:rPr>
        <w:t xml:space="preserve">. godinu iznos od </w:t>
      </w:r>
      <w:r w:rsidRPr="00B4287C">
        <w:rPr>
          <w:lang w:val="sr-Latn-CS"/>
        </w:rPr>
        <w:t xml:space="preserve">240,000.00 </w:t>
      </w:r>
      <w:r>
        <w:rPr>
          <w:lang w:val="sr-Latn-CS"/>
        </w:rPr>
        <w:t>evra, u skladu sa PJI</w:t>
      </w:r>
      <w:r w:rsidRPr="00B4287C">
        <w:rPr>
          <w:lang w:val="sr-Latn-CS"/>
        </w:rPr>
        <w:t xml:space="preserve">). </w:t>
      </w:r>
      <w:r>
        <w:rPr>
          <w:lang w:val="sr-Latn-CS"/>
        </w:rPr>
        <w:t xml:space="preserve">Od toga je na zahtev opštine Priština potrošeno </w:t>
      </w:r>
      <w:r w:rsidRPr="00B4287C">
        <w:rPr>
          <w:lang w:val="sr-Latn-CS"/>
        </w:rPr>
        <w:t>8,120.</w:t>
      </w:r>
      <w:r>
        <w:rPr>
          <w:lang w:val="sr-Latn-CS"/>
        </w:rPr>
        <w:t xml:space="preserve"> </w:t>
      </w:r>
      <w:r w:rsidRPr="00B4287C">
        <w:rPr>
          <w:lang w:val="sr-Latn-CS"/>
        </w:rPr>
        <w:t xml:space="preserve">00 </w:t>
      </w:r>
      <w:r>
        <w:rPr>
          <w:lang w:val="sr-Latn-CS"/>
        </w:rPr>
        <w:t>evra za idejni projekat</w:t>
      </w:r>
      <w:r w:rsidRPr="00B4287C">
        <w:rPr>
          <w:lang w:val="sr-Latn-CS"/>
        </w:rPr>
        <w:t xml:space="preserve">. </w:t>
      </w:r>
    </w:p>
    <w:p w:rsidR="00E843CB" w:rsidRPr="00B4287C" w:rsidRDefault="00E843CB" w:rsidP="002263CE">
      <w:pPr>
        <w:tabs>
          <w:tab w:val="left" w:pos="1080"/>
        </w:tabs>
        <w:jc w:val="both"/>
        <w:rPr>
          <w:lang w:val="sr-Latn-CS"/>
        </w:rPr>
      </w:pPr>
    </w:p>
    <w:p w:rsidR="00E843CB" w:rsidRPr="00B4287C" w:rsidRDefault="00E843CB" w:rsidP="002263CE">
      <w:pPr>
        <w:tabs>
          <w:tab w:val="left" w:pos="1080"/>
        </w:tabs>
        <w:jc w:val="both"/>
        <w:rPr>
          <w:b/>
          <w:bCs/>
          <w:lang w:val="sr-Latn-CS"/>
        </w:rPr>
      </w:pPr>
      <w:r>
        <w:rPr>
          <w:lang w:val="sr-Latn-CS"/>
        </w:rPr>
        <w:t xml:space="preserve">Ovaj projekat nije realizovan zato što nije odvojena parcela za izgradnju objekta NKM od strane opštine Priština, pa je preostali iznos od </w:t>
      </w:r>
      <w:r w:rsidRPr="00B4287C">
        <w:rPr>
          <w:lang w:val="sr-Latn-CS"/>
        </w:rPr>
        <w:t xml:space="preserve">441,880.00 </w:t>
      </w:r>
      <w:r>
        <w:rPr>
          <w:lang w:val="sr-Latn-CS"/>
        </w:rPr>
        <w:t>evra vraćen budžetu 10. oktobra</w:t>
      </w:r>
      <w:r w:rsidRPr="00B4287C">
        <w:rPr>
          <w:lang w:val="sr-Latn-CS"/>
        </w:rPr>
        <w:t xml:space="preserve"> 2011</w:t>
      </w:r>
      <w:r>
        <w:rPr>
          <w:lang w:val="sr-Latn-CS"/>
        </w:rPr>
        <w:t>. godine,</w:t>
      </w:r>
      <w:r w:rsidRPr="00B4287C">
        <w:rPr>
          <w:lang w:val="sr-Latn-CS"/>
        </w:rPr>
        <w:t xml:space="preserve"> </w:t>
      </w:r>
      <w:r>
        <w:rPr>
          <w:lang w:val="sr-Latn-CS"/>
        </w:rPr>
        <w:t>a sredstva će se označiti kao suficit odlukom Vlade Republike Kosovo br</w:t>
      </w:r>
      <w:r w:rsidRPr="00B4287C">
        <w:rPr>
          <w:lang w:val="sr-Latn-CS"/>
        </w:rPr>
        <w:t>.</w:t>
      </w:r>
      <w:r>
        <w:rPr>
          <w:lang w:val="sr-Latn-CS"/>
        </w:rPr>
        <w:t xml:space="preserve"> </w:t>
      </w:r>
      <w:r w:rsidRPr="00B4287C">
        <w:rPr>
          <w:lang w:val="sr-Latn-CS"/>
        </w:rPr>
        <w:t xml:space="preserve">12/43. </w:t>
      </w:r>
    </w:p>
    <w:p w:rsidR="00E843CB" w:rsidRPr="00B4287C" w:rsidRDefault="00E843CB" w:rsidP="002263CE">
      <w:pPr>
        <w:jc w:val="both"/>
        <w:outlineLvl w:val="0"/>
        <w:rPr>
          <w:highlight w:val="yellow"/>
          <w:lang w:val="sr-Latn-CS"/>
        </w:rPr>
      </w:pPr>
    </w:p>
    <w:p w:rsidR="00E843CB" w:rsidRPr="00B4287C" w:rsidRDefault="00E843CB" w:rsidP="002263CE">
      <w:pPr>
        <w:pBdr>
          <w:bottom w:val="single" w:sz="6" w:space="1" w:color="auto"/>
        </w:pBdr>
        <w:autoSpaceDE w:val="0"/>
        <w:autoSpaceDN w:val="0"/>
        <w:adjustRightInd w:val="0"/>
        <w:jc w:val="both"/>
        <w:rPr>
          <w:color w:val="000000"/>
          <w:lang w:val="sr-Latn-CS"/>
        </w:rPr>
      </w:pPr>
      <w:r>
        <w:rPr>
          <w:color w:val="000000"/>
          <w:lang w:val="sr-Latn-CS"/>
        </w:rPr>
        <w:t xml:space="preserve">U Aneksu </w:t>
      </w:r>
      <w:r w:rsidRPr="00B4287C">
        <w:rPr>
          <w:color w:val="000000"/>
          <w:lang w:val="sr-Latn-CS"/>
        </w:rPr>
        <w:t>I</w:t>
      </w:r>
      <w:r w:rsidRPr="00B4287C">
        <w:rPr>
          <w:rStyle w:val="FootnoteReference"/>
          <w:color w:val="000000"/>
          <w:lang w:val="sr-Latn-CS"/>
        </w:rPr>
        <w:footnoteReference w:id="12"/>
      </w:r>
      <w:r>
        <w:rPr>
          <w:color w:val="000000"/>
          <w:lang w:val="sr-Latn-CS"/>
        </w:rPr>
        <w:t xml:space="preserve"> je priložen detaljni izveštaj o budžetu koji je podnet i Komisiji za budžet  finansije Skupštine Republike Kosovo i Ministarstvu finansija</w:t>
      </w:r>
      <w:r w:rsidRPr="00B4287C">
        <w:rPr>
          <w:color w:val="000000"/>
          <w:lang w:val="sr-Latn-CS"/>
        </w:rPr>
        <w:t xml:space="preserve">.  </w:t>
      </w:r>
    </w:p>
    <w:p w:rsidR="00E843CB" w:rsidRPr="00B4287C" w:rsidRDefault="00E843CB" w:rsidP="002263CE">
      <w:pPr>
        <w:pBdr>
          <w:bottom w:val="single" w:sz="6" w:space="1" w:color="auto"/>
        </w:pBdr>
        <w:autoSpaceDE w:val="0"/>
        <w:autoSpaceDN w:val="0"/>
        <w:adjustRightInd w:val="0"/>
        <w:jc w:val="both"/>
        <w:rPr>
          <w:color w:val="000000"/>
          <w:lang w:val="sr-Latn-CS"/>
        </w:rPr>
      </w:pPr>
    </w:p>
    <w:p w:rsidR="00E843CB" w:rsidRPr="00B4287C" w:rsidRDefault="00E843CB" w:rsidP="00845FEF">
      <w:pPr>
        <w:outlineLvl w:val="1"/>
        <w:rPr>
          <w:b/>
          <w:bCs/>
          <w:color w:val="000000"/>
          <w:lang w:val="sr-Latn-CS"/>
        </w:rPr>
      </w:pPr>
      <w:bookmarkStart w:id="99" w:name="_Toc319311069"/>
      <w:r>
        <w:rPr>
          <w:b/>
          <w:bCs/>
          <w:color w:val="000000"/>
          <w:lang w:val="sr-Latn-CS"/>
        </w:rPr>
        <w:t xml:space="preserve">DEO </w:t>
      </w:r>
      <w:r w:rsidRPr="00B4287C">
        <w:rPr>
          <w:b/>
          <w:bCs/>
          <w:color w:val="000000"/>
          <w:lang w:val="sr-Latn-CS"/>
        </w:rPr>
        <w:t>V</w:t>
      </w:r>
      <w:bookmarkEnd w:id="99"/>
      <w:r w:rsidRPr="00B4287C">
        <w:rPr>
          <w:b/>
          <w:bCs/>
          <w:color w:val="000000"/>
          <w:lang w:val="sr-Latn-CS"/>
        </w:rPr>
        <w:t xml:space="preserve"> </w:t>
      </w:r>
    </w:p>
    <w:p w:rsidR="00E843CB" w:rsidRPr="00B4287C" w:rsidRDefault="00E843CB" w:rsidP="00845FEF">
      <w:pPr>
        <w:outlineLvl w:val="1"/>
        <w:rPr>
          <w:b/>
          <w:bCs/>
          <w:color w:val="000000"/>
          <w:lang w:val="sr-Latn-CS"/>
        </w:rPr>
      </w:pPr>
    </w:p>
    <w:p w:rsidR="00E843CB" w:rsidRPr="00B4287C" w:rsidRDefault="00E843CB" w:rsidP="00845FEF">
      <w:pPr>
        <w:outlineLvl w:val="1"/>
        <w:rPr>
          <w:b/>
          <w:bCs/>
          <w:color w:val="000000"/>
          <w:lang w:val="sr-Latn-CS"/>
        </w:rPr>
      </w:pPr>
    </w:p>
    <w:p w:rsidR="00E843CB" w:rsidRPr="00B4287C" w:rsidRDefault="00E843CB" w:rsidP="0066487D">
      <w:pPr>
        <w:jc w:val="center"/>
        <w:outlineLvl w:val="1"/>
        <w:rPr>
          <w:sz w:val="28"/>
          <w:szCs w:val="28"/>
          <w:lang w:val="sr-Latn-CS"/>
        </w:rPr>
      </w:pPr>
      <w:bookmarkStart w:id="100" w:name="_Toc319311070"/>
      <w:r>
        <w:rPr>
          <w:b/>
          <w:bCs/>
          <w:color w:val="000000"/>
          <w:sz w:val="28"/>
          <w:szCs w:val="28"/>
          <w:lang w:val="sr-Latn-CS"/>
        </w:rPr>
        <w:t>IZVEŠTAJ O RADU ODBORA ZA ŽALBE MEDIJA (OŽM</w:t>
      </w:r>
      <w:r w:rsidRPr="00B4287C">
        <w:rPr>
          <w:b/>
          <w:bCs/>
          <w:color w:val="000000"/>
          <w:sz w:val="28"/>
          <w:szCs w:val="28"/>
          <w:lang w:val="sr-Latn-CS"/>
        </w:rPr>
        <w:t>)</w:t>
      </w:r>
      <w:bookmarkEnd w:id="100"/>
    </w:p>
    <w:p w:rsidR="00E843CB" w:rsidRPr="00B4287C" w:rsidRDefault="00E843CB" w:rsidP="00490012">
      <w:pPr>
        <w:jc w:val="both"/>
        <w:rPr>
          <w:lang w:val="sr-Latn-CS"/>
        </w:rPr>
      </w:pPr>
      <w:r w:rsidRPr="00B4287C">
        <w:rPr>
          <w:b/>
          <w:bCs/>
          <w:color w:val="000000"/>
          <w:lang w:val="sr-Latn-CS"/>
        </w:rPr>
        <w:t> </w:t>
      </w:r>
    </w:p>
    <w:p w:rsidR="00E843CB" w:rsidRPr="00B4287C" w:rsidRDefault="00E843CB" w:rsidP="00490012">
      <w:pPr>
        <w:ind w:right="98"/>
        <w:jc w:val="both"/>
        <w:rPr>
          <w:color w:val="000000"/>
          <w:lang w:val="sr-Latn-CS"/>
        </w:rPr>
      </w:pPr>
      <w:r>
        <w:rPr>
          <w:color w:val="000000"/>
          <w:lang w:val="sr-Latn-CS"/>
        </w:rPr>
        <w:t>Odbor za žalbe medija (OŽM) je nezavisni organ formiran u skladu sa članom 21. Zakona o NKM. Odbor za žalbe medija razmatra žalbe stranaka na odluke Saveta NKM</w:t>
      </w:r>
      <w:r w:rsidRPr="00B4287C">
        <w:rPr>
          <w:color w:val="000000"/>
          <w:lang w:val="sr-Latn-CS"/>
        </w:rPr>
        <w:t>.</w:t>
      </w:r>
    </w:p>
    <w:p w:rsidR="00E843CB" w:rsidRPr="00B4287C" w:rsidRDefault="00E843CB" w:rsidP="00490012">
      <w:pPr>
        <w:jc w:val="both"/>
        <w:rPr>
          <w:b/>
          <w:bCs/>
          <w:i/>
          <w:iCs/>
          <w:color w:val="000000"/>
          <w:lang w:val="sr-Latn-CS"/>
        </w:rPr>
      </w:pPr>
    </w:p>
    <w:p w:rsidR="00E843CB" w:rsidRPr="00B4287C" w:rsidRDefault="00E843CB" w:rsidP="00947121">
      <w:pPr>
        <w:jc w:val="both"/>
        <w:outlineLvl w:val="2"/>
        <w:rPr>
          <w:lang w:val="sr-Latn-CS"/>
        </w:rPr>
      </w:pPr>
      <w:bookmarkStart w:id="101" w:name="_Toc319311071"/>
      <w:r>
        <w:rPr>
          <w:b/>
          <w:bCs/>
          <w:i/>
          <w:iCs/>
          <w:color w:val="000000"/>
          <w:lang w:val="sr-Latn-CS"/>
        </w:rPr>
        <w:t>Sastanci i odluke OŽM</w:t>
      </w:r>
      <w:bookmarkEnd w:id="101"/>
    </w:p>
    <w:p w:rsidR="00E843CB" w:rsidRPr="00B4287C" w:rsidRDefault="00E843CB" w:rsidP="00302B3A">
      <w:pPr>
        <w:tabs>
          <w:tab w:val="left" w:pos="1080"/>
        </w:tabs>
        <w:jc w:val="both"/>
        <w:rPr>
          <w:color w:val="000000"/>
          <w:lang w:val="sr-Latn-CS"/>
        </w:rPr>
      </w:pPr>
    </w:p>
    <w:p w:rsidR="00E843CB" w:rsidRPr="00B4287C" w:rsidRDefault="00E843CB" w:rsidP="002F37DC">
      <w:pPr>
        <w:tabs>
          <w:tab w:val="left" w:pos="1080"/>
        </w:tabs>
        <w:jc w:val="both"/>
        <w:rPr>
          <w:lang w:val="sr-Latn-CS"/>
        </w:rPr>
      </w:pPr>
      <w:r>
        <w:rPr>
          <w:color w:val="000000"/>
          <w:lang w:val="sr-Latn-CS"/>
        </w:rPr>
        <w:t>Odbor za žalbe medija (OŽM) je tokom 2011. godine</w:t>
      </w:r>
      <w:r w:rsidRPr="00B4287C">
        <w:rPr>
          <w:color w:val="000000"/>
          <w:lang w:val="sr-Latn-CS"/>
        </w:rPr>
        <w:t xml:space="preserve"> </w:t>
      </w:r>
      <w:r>
        <w:rPr>
          <w:color w:val="000000"/>
          <w:lang w:val="sr-Latn-CS"/>
        </w:rPr>
        <w:t>razmotrio ukupno 3 žalbe na odluke Saveta NKM. OŽM je tokom 2011. godine</w:t>
      </w:r>
      <w:r w:rsidRPr="00B4287C">
        <w:rPr>
          <w:color w:val="000000"/>
          <w:lang w:val="sr-Latn-CS"/>
        </w:rPr>
        <w:t xml:space="preserve"> </w:t>
      </w:r>
      <w:r>
        <w:rPr>
          <w:color w:val="000000"/>
          <w:lang w:val="sr-Latn-CS"/>
        </w:rPr>
        <w:t>održao samo jedan sastanak 24. februara</w:t>
      </w:r>
      <w:r w:rsidRPr="00B4287C">
        <w:rPr>
          <w:color w:val="000000"/>
          <w:lang w:val="sr-Latn-CS"/>
        </w:rPr>
        <w:t xml:space="preserve"> 2011. </w:t>
      </w:r>
      <w:r>
        <w:rPr>
          <w:color w:val="000000"/>
          <w:lang w:val="sr-Latn-CS"/>
        </w:rPr>
        <w:t>Predmeti razmotreni od strane OŽM tokom 2011. godine su</w:t>
      </w:r>
      <w:r w:rsidRPr="00B4287C">
        <w:rPr>
          <w:color w:val="000000"/>
          <w:lang w:val="sr-Latn-CS"/>
        </w:rPr>
        <w:t>:</w:t>
      </w:r>
    </w:p>
    <w:p w:rsidR="00E843CB" w:rsidRPr="00B4287C" w:rsidRDefault="00E843CB" w:rsidP="00490012">
      <w:pPr>
        <w:jc w:val="both"/>
        <w:rPr>
          <w:lang w:val="sr-Latn-CS"/>
        </w:rPr>
      </w:pPr>
    </w:p>
    <w:p w:rsidR="00E843CB" w:rsidRPr="00B4287C" w:rsidRDefault="00E843CB" w:rsidP="00490012">
      <w:pPr>
        <w:numPr>
          <w:ilvl w:val="0"/>
          <w:numId w:val="6"/>
        </w:numPr>
        <w:jc w:val="both"/>
        <w:rPr>
          <w:lang w:val="sr-Latn-CS"/>
        </w:rPr>
      </w:pPr>
      <w:r>
        <w:rPr>
          <w:color w:val="000000"/>
          <w:lang w:val="sr-Latn-CS"/>
        </w:rPr>
        <w:t xml:space="preserve">Kablovski operator </w:t>
      </w:r>
      <w:r w:rsidRPr="00B4287C">
        <w:rPr>
          <w:color w:val="000000"/>
          <w:lang w:val="sr-Latn-CS"/>
        </w:rPr>
        <w:t xml:space="preserve">Net </w:t>
      </w:r>
      <w:r w:rsidRPr="00B4287C">
        <w:rPr>
          <w:lang w:val="sr-Latn-CS"/>
        </w:rPr>
        <w:t xml:space="preserve">– </w:t>
      </w:r>
      <w:r>
        <w:rPr>
          <w:lang w:val="sr-Latn-CS"/>
        </w:rPr>
        <w:t>Odbor za žalbe medija. OŽM je 24. februara</w:t>
      </w:r>
      <w:r w:rsidRPr="00B4287C">
        <w:rPr>
          <w:lang w:val="sr-Latn-CS"/>
        </w:rPr>
        <w:t xml:space="preserve"> 2011</w:t>
      </w:r>
      <w:r>
        <w:rPr>
          <w:lang w:val="sr-Latn-CS"/>
        </w:rPr>
        <w:t>. godine</w:t>
      </w:r>
      <w:r w:rsidRPr="00B4287C">
        <w:rPr>
          <w:lang w:val="sr-Latn-CS"/>
        </w:rPr>
        <w:t xml:space="preserve"> </w:t>
      </w:r>
      <w:r>
        <w:rPr>
          <w:lang w:val="sr-Latn-CS"/>
        </w:rPr>
        <w:t xml:space="preserve">razmotrio dva predmeta kablovskog operatora </w:t>
      </w:r>
      <w:r w:rsidRPr="00B4287C">
        <w:rPr>
          <w:lang w:val="sr-Latn-CS"/>
        </w:rPr>
        <w:t xml:space="preserve">Kujtesa Net </w:t>
      </w:r>
      <w:r>
        <w:rPr>
          <w:lang w:val="sr-Latn-CS"/>
        </w:rPr>
        <w:t xml:space="preserve">i odlučio da se kazna izrečena od strane Saveta NKM smanji sa iznosa od </w:t>
      </w:r>
      <w:r w:rsidRPr="00B4287C">
        <w:rPr>
          <w:lang w:val="sr-Latn-CS"/>
        </w:rPr>
        <w:t xml:space="preserve">90 </w:t>
      </w:r>
      <w:r>
        <w:rPr>
          <w:lang w:val="sr-Latn-CS"/>
        </w:rPr>
        <w:t xml:space="preserve">(devedeset) hiljada evra na 50 (pedeset) hiljada evra. OŽM je drugostepeni organ i odluke istog su konačne. Po razmatranju žalbi podnetih od strane </w:t>
      </w:r>
      <w:r w:rsidRPr="00B4287C">
        <w:rPr>
          <w:lang w:val="sr-Latn-CS"/>
        </w:rPr>
        <w:t xml:space="preserve">Kujtesa Net, </w:t>
      </w:r>
      <w:r>
        <w:rPr>
          <w:lang w:val="sr-Latn-CS"/>
        </w:rPr>
        <w:t>OŽM je potvrdio odluke Saveta NKM. A Kujtesa Net je na osnovu konačne odluke dužna da plati kaznu u iznosu od 50 (pedeset) hiljada evra</w:t>
      </w:r>
      <w:r w:rsidRPr="00B4287C">
        <w:rPr>
          <w:lang w:val="sr-Latn-CS"/>
        </w:rPr>
        <w:t xml:space="preserve">. </w:t>
      </w:r>
      <w:r>
        <w:rPr>
          <w:lang w:val="sr-Latn-CS"/>
        </w:rPr>
        <w:t>Sredstva od kazni koje izriče NKM se inkasiraju u budžet Republike Kosovo</w:t>
      </w:r>
      <w:r w:rsidRPr="00B4287C">
        <w:rPr>
          <w:lang w:val="sr-Latn-CS"/>
        </w:rPr>
        <w:t xml:space="preserve">; </w:t>
      </w:r>
    </w:p>
    <w:p w:rsidR="00E843CB" w:rsidRPr="00B4287C" w:rsidRDefault="00E843CB" w:rsidP="002C1DB6">
      <w:pPr>
        <w:numPr>
          <w:ilvl w:val="0"/>
          <w:numId w:val="6"/>
        </w:numPr>
        <w:spacing w:before="240"/>
        <w:jc w:val="both"/>
        <w:rPr>
          <w:lang w:val="sr-Latn-CS"/>
        </w:rPr>
      </w:pPr>
      <w:r>
        <w:rPr>
          <w:lang w:val="sr-Latn-CS"/>
        </w:rPr>
        <w:t xml:space="preserve">Provajder programskih usluga Klan </w:t>
      </w:r>
      <w:r w:rsidRPr="00B4287C">
        <w:rPr>
          <w:lang w:val="sr-Latn-CS"/>
        </w:rPr>
        <w:t xml:space="preserve">Kosova – </w:t>
      </w:r>
      <w:r>
        <w:rPr>
          <w:lang w:val="sr-Latn-CS"/>
        </w:rPr>
        <w:t>Odbor za žalbe medija</w:t>
      </w:r>
      <w:r w:rsidRPr="00B4287C">
        <w:rPr>
          <w:lang w:val="sr-Latn-CS"/>
        </w:rPr>
        <w:t xml:space="preserve">, </w:t>
      </w:r>
      <w:r>
        <w:rPr>
          <w:lang w:val="sr-Latn-CS"/>
        </w:rPr>
        <w:t>OŽM je takođe 24. februara</w:t>
      </w:r>
      <w:r w:rsidRPr="00B4287C">
        <w:rPr>
          <w:lang w:val="sr-Latn-CS"/>
        </w:rPr>
        <w:t xml:space="preserve"> 2011</w:t>
      </w:r>
      <w:r>
        <w:rPr>
          <w:lang w:val="sr-Latn-CS"/>
        </w:rPr>
        <w:t>. godine</w:t>
      </w:r>
      <w:r w:rsidRPr="00B4287C">
        <w:rPr>
          <w:lang w:val="sr-Latn-CS"/>
        </w:rPr>
        <w:t>,</w:t>
      </w:r>
      <w:r>
        <w:rPr>
          <w:lang w:val="sr-Latn-CS"/>
        </w:rPr>
        <w:t xml:space="preserve"> odlučio i u slučaju Klan Kosova. OŽM je odlučio da smanji kaznu prvobitno izrečenu od strane Saveta NKM sa 20 (dvadeset) hiljada evra na 10 (deset) hiljada evra</w:t>
      </w:r>
      <w:r w:rsidRPr="00B4287C">
        <w:rPr>
          <w:lang w:val="sr-Latn-CS"/>
        </w:rPr>
        <w:t xml:space="preserve">. </w:t>
      </w:r>
    </w:p>
    <w:p w:rsidR="00E843CB" w:rsidRPr="00B4287C" w:rsidRDefault="00E843CB" w:rsidP="00490012">
      <w:pPr>
        <w:jc w:val="both"/>
        <w:rPr>
          <w:color w:val="000000"/>
          <w:lang w:val="sr-Latn-CS"/>
        </w:rPr>
      </w:pPr>
      <w:r w:rsidRPr="00B4287C">
        <w:rPr>
          <w:color w:val="000000"/>
          <w:lang w:val="sr-Latn-CS"/>
        </w:rPr>
        <w:t xml:space="preserve"> </w:t>
      </w:r>
    </w:p>
    <w:p w:rsidR="00E843CB" w:rsidRPr="00B4287C" w:rsidRDefault="00E843CB" w:rsidP="00490012">
      <w:pPr>
        <w:jc w:val="both"/>
        <w:rPr>
          <w:color w:val="000000"/>
          <w:lang w:val="sr-Latn-CS"/>
        </w:rPr>
      </w:pPr>
      <w:r>
        <w:rPr>
          <w:color w:val="000000"/>
          <w:lang w:val="sr-Latn-CS"/>
        </w:rPr>
        <w:t>OŽM je tokom 2011. godine razmatrao gore navedene predmete. Treba se naglasiti da je mali broj predmeta razmatranih od strane OŽM rezultat nepotpunog sastava visokog organa odnosno Saveta NKM koji takoreći tokom 2011. godine</w:t>
      </w:r>
      <w:r w:rsidRPr="00B4287C">
        <w:rPr>
          <w:color w:val="000000"/>
          <w:lang w:val="sr-Latn-CS"/>
        </w:rPr>
        <w:t xml:space="preserve"> </w:t>
      </w:r>
      <w:r>
        <w:rPr>
          <w:color w:val="000000"/>
          <w:lang w:val="sr-Latn-CS"/>
        </w:rPr>
        <w:t xml:space="preserve">uopšte nije funkcionisao. MOŽ odlučuje o žalbama licenciranih koje se podnose na odluke Saveta NKM. </w:t>
      </w:r>
    </w:p>
    <w:p w:rsidR="00E843CB" w:rsidRPr="00B4287C" w:rsidRDefault="00E843CB" w:rsidP="006740F1">
      <w:pPr>
        <w:jc w:val="both"/>
        <w:outlineLvl w:val="0"/>
        <w:rPr>
          <w:color w:val="000000"/>
          <w:lang w:val="sr-Latn-CS"/>
        </w:rPr>
      </w:pPr>
    </w:p>
    <w:p w:rsidR="00E843CB" w:rsidRPr="00B4287C" w:rsidRDefault="00E843CB" w:rsidP="00947121">
      <w:pPr>
        <w:ind w:left="180" w:hanging="180"/>
        <w:jc w:val="both"/>
        <w:outlineLvl w:val="2"/>
        <w:rPr>
          <w:b/>
          <w:bCs/>
          <w:i/>
          <w:iCs/>
          <w:lang w:val="sr-Latn-CS"/>
        </w:rPr>
      </w:pPr>
      <w:bookmarkStart w:id="102" w:name="_Toc319311072"/>
      <w:r>
        <w:rPr>
          <w:b/>
          <w:bCs/>
          <w:i/>
          <w:iCs/>
          <w:lang w:val="sr-Latn-CS"/>
        </w:rPr>
        <w:t>Proces nominacije za trećeg člana OŽM</w:t>
      </w:r>
      <w:bookmarkEnd w:id="102"/>
    </w:p>
    <w:p w:rsidR="00E843CB" w:rsidRPr="00B4287C" w:rsidRDefault="00E843CB" w:rsidP="00454478">
      <w:pPr>
        <w:pStyle w:val="normal0"/>
        <w:spacing w:before="240"/>
        <w:jc w:val="both"/>
        <w:rPr>
          <w:lang w:val="sr-Latn-CS"/>
        </w:rPr>
      </w:pPr>
      <w:r>
        <w:rPr>
          <w:lang w:val="sr-Latn-CS"/>
        </w:rPr>
        <w:t>NKM je 3. maja</w:t>
      </w:r>
      <w:r w:rsidRPr="00B4287C">
        <w:rPr>
          <w:lang w:val="sr-Latn-CS"/>
        </w:rPr>
        <w:t xml:space="preserve"> 2011</w:t>
      </w:r>
      <w:r>
        <w:rPr>
          <w:lang w:val="sr-Latn-CS"/>
        </w:rPr>
        <w:t>.</w:t>
      </w:r>
      <w:r w:rsidRPr="00B4287C">
        <w:rPr>
          <w:lang w:val="sr-Latn-CS"/>
        </w:rPr>
        <w:t xml:space="preserve"> </w:t>
      </w:r>
      <w:r>
        <w:rPr>
          <w:lang w:val="sr-Latn-CS"/>
        </w:rPr>
        <w:t>godine</w:t>
      </w:r>
      <w:r w:rsidRPr="00B4287C">
        <w:rPr>
          <w:lang w:val="sr-Latn-CS"/>
        </w:rPr>
        <w:t xml:space="preserve"> </w:t>
      </w:r>
      <w:r>
        <w:rPr>
          <w:lang w:val="sr-Latn-CS"/>
        </w:rPr>
        <w:t>objavila poziv za nominacije za trećeg člana Odbora za žalbe medija i tokom procesa nominacija koji je zatvoren 17. maja</w:t>
      </w:r>
      <w:r w:rsidRPr="00B4287C">
        <w:rPr>
          <w:lang w:val="sr-Latn-CS"/>
        </w:rPr>
        <w:t xml:space="preserve"> 2011</w:t>
      </w:r>
      <w:r>
        <w:rPr>
          <w:lang w:val="sr-Latn-CS"/>
        </w:rPr>
        <w:t>. godine</w:t>
      </w:r>
      <w:r w:rsidRPr="00B4287C">
        <w:rPr>
          <w:lang w:val="sr-Latn-CS"/>
        </w:rPr>
        <w:t xml:space="preserve"> </w:t>
      </w:r>
      <w:r>
        <w:rPr>
          <w:lang w:val="sr-Latn-CS"/>
        </w:rPr>
        <w:t>primila ukupno 4 predloga za jednu poziciju u OŽM</w:t>
      </w:r>
      <w:r w:rsidRPr="00B4287C">
        <w:rPr>
          <w:lang w:val="sr-Latn-CS"/>
        </w:rPr>
        <w:t>.</w:t>
      </w:r>
    </w:p>
    <w:p w:rsidR="00E843CB" w:rsidRPr="00B4287C" w:rsidRDefault="00E843CB" w:rsidP="00454478">
      <w:pPr>
        <w:pStyle w:val="normal0"/>
        <w:spacing w:before="240"/>
        <w:jc w:val="both"/>
        <w:rPr>
          <w:lang w:val="sr-Latn-CS"/>
        </w:rPr>
      </w:pPr>
      <w:r>
        <w:rPr>
          <w:lang w:val="sr-Latn-CS"/>
        </w:rPr>
        <w:t>NKM je 19. maja</w:t>
      </w:r>
      <w:r w:rsidRPr="00B4287C">
        <w:rPr>
          <w:lang w:val="sr-Latn-CS"/>
        </w:rPr>
        <w:t xml:space="preserve"> 2011</w:t>
      </w:r>
      <w:r>
        <w:rPr>
          <w:lang w:val="sr-Latn-CS"/>
        </w:rPr>
        <w:t>. godine</w:t>
      </w:r>
      <w:r w:rsidRPr="00B4287C">
        <w:rPr>
          <w:lang w:val="sr-Latn-CS"/>
        </w:rPr>
        <w:t xml:space="preserve"> </w:t>
      </w:r>
      <w:r>
        <w:rPr>
          <w:lang w:val="sr-Latn-CS"/>
        </w:rPr>
        <w:t>preko dopisa br. r</w:t>
      </w:r>
      <w:r w:rsidRPr="00B4287C">
        <w:rPr>
          <w:lang w:val="sr-Latn-CS"/>
        </w:rPr>
        <w:t xml:space="preserve">ef. 1105/616/EXD/ld, </w:t>
      </w:r>
      <w:r>
        <w:rPr>
          <w:lang w:val="sr-Latn-CS"/>
        </w:rPr>
        <w:t>zahtevala od Vrhovnog suda Republike Kosovo da na osnovu člana 22. stav</w:t>
      </w:r>
      <w:r w:rsidRPr="00B4287C">
        <w:rPr>
          <w:lang w:val="sr-Latn-CS"/>
        </w:rPr>
        <w:t xml:space="preserve"> 2 </w:t>
      </w:r>
      <w:r>
        <w:rPr>
          <w:lang w:val="sr-Latn-CS"/>
        </w:rPr>
        <w:t>Zakona o NKM, nastavi sa procesom nominacije člana OŽM</w:t>
      </w:r>
      <w:r w:rsidRPr="00B4287C">
        <w:rPr>
          <w:lang w:val="sr-Latn-CS"/>
        </w:rPr>
        <w:t xml:space="preserve">. </w:t>
      </w:r>
    </w:p>
    <w:p w:rsidR="00E843CB" w:rsidRPr="00B4287C" w:rsidRDefault="00E843CB" w:rsidP="00454478">
      <w:pPr>
        <w:pStyle w:val="normal0"/>
        <w:pBdr>
          <w:bottom w:val="single" w:sz="6" w:space="1" w:color="auto"/>
        </w:pBdr>
        <w:spacing w:before="240"/>
        <w:jc w:val="both"/>
        <w:rPr>
          <w:lang w:val="sr-Latn-CS"/>
        </w:rPr>
      </w:pPr>
      <w:r>
        <w:rPr>
          <w:lang w:val="sr-Latn-CS"/>
        </w:rPr>
        <w:t xml:space="preserve">Vrhovni sud Republike Kosovo je delujući u skladu sa dopisom </w:t>
      </w:r>
      <w:r w:rsidRPr="00B4287C">
        <w:rPr>
          <w:lang w:val="sr-Latn-CS"/>
        </w:rPr>
        <w:t>KPM</w:t>
      </w:r>
      <w:r>
        <w:rPr>
          <w:lang w:val="sr-Latn-CS"/>
        </w:rPr>
        <w:t xml:space="preserve"> br.</w:t>
      </w:r>
      <w:r w:rsidRPr="00B4287C">
        <w:rPr>
          <w:lang w:val="sr-Latn-CS"/>
        </w:rPr>
        <w:t xml:space="preserve"> </w:t>
      </w:r>
      <w:r>
        <w:rPr>
          <w:lang w:val="sr-Latn-CS"/>
        </w:rPr>
        <w:t>r</w:t>
      </w:r>
      <w:r w:rsidRPr="00B4287C">
        <w:rPr>
          <w:lang w:val="sr-Latn-CS"/>
        </w:rPr>
        <w:t xml:space="preserve">ef. 1105/616/EXD/ld, </w:t>
      </w:r>
      <w:r>
        <w:rPr>
          <w:lang w:val="sr-Latn-CS"/>
        </w:rPr>
        <w:t>12.07.2011. informisao</w:t>
      </w:r>
      <w:r w:rsidRPr="00B4287C">
        <w:rPr>
          <w:lang w:val="sr-Latn-CS"/>
        </w:rPr>
        <w:t xml:space="preserve"> </w:t>
      </w:r>
      <w:r>
        <w:rPr>
          <w:lang w:val="sr-Latn-CS"/>
        </w:rPr>
        <w:t>NKM</w:t>
      </w:r>
      <w:r w:rsidRPr="00B4287C">
        <w:rPr>
          <w:lang w:val="sr-Latn-CS"/>
        </w:rPr>
        <w:t xml:space="preserve"> </w:t>
      </w:r>
      <w:r>
        <w:rPr>
          <w:lang w:val="sr-Latn-CS"/>
        </w:rPr>
        <w:t>da je 1. jula</w:t>
      </w:r>
      <w:r w:rsidRPr="00B4287C">
        <w:rPr>
          <w:lang w:val="sr-Latn-CS"/>
        </w:rPr>
        <w:t xml:space="preserve"> 2011</w:t>
      </w:r>
      <w:r>
        <w:rPr>
          <w:lang w:val="sr-Latn-CS"/>
        </w:rPr>
        <w:t>. većinom</w:t>
      </w:r>
      <w:r w:rsidRPr="00B4287C">
        <w:rPr>
          <w:lang w:val="sr-Latn-CS"/>
        </w:rPr>
        <w:t xml:space="preserve"> </w:t>
      </w:r>
      <w:r>
        <w:rPr>
          <w:lang w:val="sr-Latn-CS"/>
        </w:rPr>
        <w:t>glasova odlučio o nominaciji gđe. Emine Mustafa kao člana OŽM, koja trenutno radi u Vrhovnom sudu Republike Kosovo</w:t>
      </w:r>
      <w:r w:rsidRPr="00B4287C">
        <w:rPr>
          <w:lang w:val="sr-Latn-CS"/>
        </w:rPr>
        <w:t>.</w:t>
      </w:r>
    </w:p>
    <w:p w:rsidR="00E843CB" w:rsidRDefault="00E843CB" w:rsidP="00454478">
      <w:pPr>
        <w:pStyle w:val="normal0"/>
        <w:pBdr>
          <w:bottom w:val="single" w:sz="6" w:space="1" w:color="auto"/>
        </w:pBdr>
        <w:spacing w:before="240"/>
        <w:jc w:val="both"/>
        <w:rPr>
          <w:lang w:val="sr-Latn-CS"/>
        </w:rPr>
      </w:pPr>
    </w:p>
    <w:p w:rsidR="00E843CB" w:rsidRDefault="00E843CB" w:rsidP="00454478">
      <w:pPr>
        <w:pStyle w:val="normal0"/>
        <w:pBdr>
          <w:bottom w:val="single" w:sz="6" w:space="1" w:color="auto"/>
        </w:pBdr>
        <w:spacing w:before="240"/>
        <w:jc w:val="both"/>
        <w:rPr>
          <w:lang w:val="sr-Latn-CS"/>
        </w:rPr>
      </w:pPr>
    </w:p>
    <w:p w:rsidR="00E843CB" w:rsidRPr="00B4287C" w:rsidRDefault="00E843CB" w:rsidP="00454478">
      <w:pPr>
        <w:pStyle w:val="normal0"/>
        <w:pBdr>
          <w:bottom w:val="single" w:sz="6" w:space="1" w:color="auto"/>
        </w:pBdr>
        <w:spacing w:before="240"/>
        <w:jc w:val="both"/>
        <w:rPr>
          <w:lang w:val="sr-Latn-CS"/>
        </w:rPr>
      </w:pPr>
    </w:p>
    <w:bookmarkEnd w:id="67"/>
    <w:bookmarkEnd w:id="68"/>
    <w:p w:rsidR="00E843CB" w:rsidRPr="00B4287C" w:rsidRDefault="00E843CB" w:rsidP="004C537A">
      <w:pPr>
        <w:tabs>
          <w:tab w:val="left" w:pos="7360"/>
        </w:tabs>
        <w:jc w:val="both"/>
        <w:rPr>
          <w:b/>
          <w:bCs/>
          <w:color w:val="000000"/>
          <w:lang w:val="sr-Latn-CS"/>
        </w:rPr>
      </w:pPr>
      <w:r>
        <w:rPr>
          <w:b/>
          <w:bCs/>
          <w:color w:val="000000"/>
          <w:lang w:val="sr-Latn-CS"/>
        </w:rPr>
        <w:t>DEO</w:t>
      </w:r>
      <w:r w:rsidRPr="00B4287C">
        <w:rPr>
          <w:b/>
          <w:bCs/>
          <w:color w:val="000000"/>
          <w:lang w:val="sr-Latn-CS"/>
        </w:rPr>
        <w:t xml:space="preserve"> VI</w:t>
      </w:r>
    </w:p>
    <w:p w:rsidR="00E843CB" w:rsidRPr="00B4287C" w:rsidRDefault="00E843CB" w:rsidP="009C370D">
      <w:pPr>
        <w:spacing w:before="100" w:beforeAutospacing="1" w:after="100" w:afterAutospacing="1"/>
        <w:jc w:val="center"/>
        <w:outlineLvl w:val="1"/>
        <w:rPr>
          <w:b/>
          <w:bCs/>
          <w:lang w:val="sr-Latn-CS"/>
        </w:rPr>
      </w:pPr>
      <w:bookmarkStart w:id="103" w:name="_Toc319311073"/>
      <w:r>
        <w:rPr>
          <w:b/>
          <w:bCs/>
          <w:color w:val="000000"/>
          <w:lang w:val="sr-Latn-CS"/>
        </w:rPr>
        <w:t>SARADNJA SA DOMAĆIM INSTITUCIJAMA</w:t>
      </w:r>
      <w:bookmarkEnd w:id="103"/>
    </w:p>
    <w:p w:rsidR="00E843CB" w:rsidRPr="00B4287C" w:rsidRDefault="00E843CB" w:rsidP="00F71A63">
      <w:pPr>
        <w:jc w:val="both"/>
        <w:rPr>
          <w:color w:val="000000"/>
          <w:lang w:val="sr-Latn-CS"/>
        </w:rPr>
      </w:pPr>
      <w:r>
        <w:rPr>
          <w:lang w:val="sr-Latn-CS"/>
        </w:rPr>
        <w:t>Nezavisna komisija za medije je i tokom 2011. godine</w:t>
      </w:r>
      <w:r w:rsidRPr="00B4287C">
        <w:rPr>
          <w:lang w:val="sr-Latn-CS"/>
        </w:rPr>
        <w:t xml:space="preserve"> </w:t>
      </w:r>
      <w:r>
        <w:rPr>
          <w:lang w:val="sr-Latn-CS"/>
        </w:rPr>
        <w:t xml:space="preserve">nastavila saradnju sa domaćim institucijama. Jedna od te vrste saradnje je ona sa Državnom agencijom za zaštitu ličnih podataka (DAZLP), sa kojom je i organizovana konferencija </w:t>
      </w:r>
      <w:r w:rsidRPr="00FA5305">
        <w:rPr>
          <w:i/>
          <w:iCs/>
          <w:lang w:val="sr-Latn-CS"/>
        </w:rPr>
        <w:t>„Mediji i privatnost“</w:t>
      </w:r>
      <w:r w:rsidRPr="00B4287C">
        <w:rPr>
          <w:color w:val="000000"/>
          <w:lang w:val="sr-Latn-CS"/>
        </w:rPr>
        <w:t xml:space="preserve">. </w:t>
      </w:r>
    </w:p>
    <w:p w:rsidR="00E843CB" w:rsidRPr="00B4287C" w:rsidRDefault="00E843CB" w:rsidP="00F71A63">
      <w:pPr>
        <w:jc w:val="both"/>
        <w:rPr>
          <w:color w:val="000000"/>
          <w:lang w:val="sr-Latn-CS"/>
        </w:rPr>
      </w:pPr>
    </w:p>
    <w:p w:rsidR="00E843CB" w:rsidRPr="00B4287C" w:rsidRDefault="00E843CB" w:rsidP="00F71A63">
      <w:pPr>
        <w:jc w:val="both"/>
        <w:rPr>
          <w:color w:val="000000"/>
          <w:lang w:val="sr-Latn-CS"/>
        </w:rPr>
      </w:pPr>
      <w:r>
        <w:rPr>
          <w:color w:val="000000"/>
          <w:lang w:val="sr-Latn-CS"/>
        </w:rPr>
        <w:t xml:space="preserve">NKM i DAZLP su se na pomenutoj konferenciji obavezali o saradnji u zaštiti ličnih podataka i nizu ostalih pitanja kao što je zaštita identiteta maloletnika, poštovanje zvanične vlasti i zaštita državnih interesa. </w:t>
      </w:r>
    </w:p>
    <w:p w:rsidR="00E843CB" w:rsidRPr="00B4287C" w:rsidRDefault="00E843CB" w:rsidP="00F71A63">
      <w:pPr>
        <w:jc w:val="both"/>
        <w:rPr>
          <w:color w:val="000000"/>
          <w:lang w:val="sr-Latn-CS"/>
        </w:rPr>
      </w:pPr>
    </w:p>
    <w:p w:rsidR="00E843CB" w:rsidRPr="00B4287C" w:rsidRDefault="00E843CB" w:rsidP="00F71A63">
      <w:pPr>
        <w:jc w:val="both"/>
        <w:rPr>
          <w:color w:val="000000"/>
          <w:lang w:val="sr-Latn-CS"/>
        </w:rPr>
      </w:pPr>
      <w:r>
        <w:rPr>
          <w:color w:val="000000"/>
          <w:lang w:val="sr-Latn-CS"/>
        </w:rPr>
        <w:t xml:space="preserve">Ove dve nezavisne institucije su potpisale memorandum o razumevanju u cilju koordiniranja aktivnosti tokom izrade podzaknoskih akata u zajedničkim oblastima. </w:t>
      </w:r>
    </w:p>
    <w:p w:rsidR="00E843CB" w:rsidRPr="00B4287C" w:rsidRDefault="00E843CB" w:rsidP="00FA5305">
      <w:pPr>
        <w:spacing w:before="100" w:beforeAutospacing="1" w:after="100" w:afterAutospacing="1"/>
        <w:jc w:val="center"/>
        <w:outlineLvl w:val="1"/>
        <w:rPr>
          <w:b/>
          <w:bCs/>
          <w:lang w:val="sr-Latn-CS"/>
        </w:rPr>
      </w:pPr>
      <w:bookmarkStart w:id="104" w:name="_Toc319311074"/>
      <w:r>
        <w:rPr>
          <w:b/>
          <w:bCs/>
          <w:color w:val="000000"/>
          <w:lang w:val="sr-Latn-CS"/>
        </w:rPr>
        <w:t>SARADNJA SA MEĐUNARODNIM INSTITUCIJAMA</w:t>
      </w:r>
      <w:bookmarkEnd w:id="104"/>
    </w:p>
    <w:p w:rsidR="00E843CB" w:rsidRPr="00B4287C" w:rsidRDefault="00E843CB" w:rsidP="00F71A63">
      <w:pPr>
        <w:jc w:val="both"/>
        <w:rPr>
          <w:color w:val="000000"/>
          <w:lang w:val="sr-Latn-CS"/>
        </w:rPr>
      </w:pPr>
      <w:r>
        <w:rPr>
          <w:color w:val="000000"/>
          <w:lang w:val="sr-Latn-CS"/>
        </w:rPr>
        <w:t>Misija OEBS-a na Kosovu je i tokom 2011. godine</w:t>
      </w:r>
      <w:r w:rsidRPr="00B4287C">
        <w:rPr>
          <w:color w:val="000000"/>
          <w:lang w:val="sr-Latn-CS"/>
        </w:rPr>
        <w:t xml:space="preserve"> </w:t>
      </w:r>
      <w:r>
        <w:rPr>
          <w:color w:val="000000"/>
          <w:lang w:val="sr-Latn-CS"/>
        </w:rPr>
        <w:t>pružala tehničku podršku NKM za organizovanje konferencije na temu „Zaštita dece i maloletnika od štetnog programskog sadržaja</w:t>
      </w:r>
      <w:r w:rsidRPr="00B4287C">
        <w:rPr>
          <w:color w:val="000000"/>
          <w:lang w:val="sr-Latn-CS"/>
        </w:rPr>
        <w:t>”</w:t>
      </w:r>
      <w:r>
        <w:rPr>
          <w:color w:val="000000"/>
          <w:lang w:val="sr-Latn-CS"/>
        </w:rPr>
        <w:t xml:space="preserve"> i finansirala je proizvodnju i emitovanje video spota radi podizanja svesti građana o uticaju štetnog programskog sadržaja na decu i maloletnike</w:t>
      </w:r>
      <w:r w:rsidRPr="00B4287C">
        <w:rPr>
          <w:color w:val="000000"/>
          <w:lang w:val="sr-Latn-CS"/>
        </w:rPr>
        <w:t>.</w:t>
      </w:r>
      <w:r>
        <w:rPr>
          <w:color w:val="000000"/>
          <w:lang w:val="sr-Latn-CS"/>
        </w:rPr>
        <w:t xml:space="preserve"> Uz podršku OEBS-a je takođe realizovana studijska poseta Pravnom odeljenju italijanskog regulatora</w:t>
      </w:r>
      <w:r w:rsidRPr="00B4287C">
        <w:rPr>
          <w:color w:val="000000"/>
          <w:lang w:val="sr-Latn-CS"/>
        </w:rPr>
        <w:t xml:space="preserve"> AGICOM. </w:t>
      </w:r>
    </w:p>
    <w:p w:rsidR="00E843CB" w:rsidRPr="00B4287C" w:rsidRDefault="00E843CB" w:rsidP="006740F1">
      <w:pPr>
        <w:autoSpaceDE w:val="0"/>
        <w:autoSpaceDN w:val="0"/>
        <w:adjustRightInd w:val="0"/>
        <w:jc w:val="both"/>
        <w:rPr>
          <w:b/>
          <w:bCs/>
          <w:color w:val="000000"/>
          <w:lang w:val="sr-Latn-CS"/>
        </w:rPr>
      </w:pPr>
    </w:p>
    <w:p w:rsidR="00E843CB" w:rsidRPr="00B4287C" w:rsidRDefault="00E843CB" w:rsidP="004D0D72">
      <w:pPr>
        <w:jc w:val="both"/>
        <w:rPr>
          <w:color w:val="000000"/>
          <w:lang w:val="sr-Latn-CS"/>
        </w:rPr>
      </w:pPr>
      <w:r>
        <w:rPr>
          <w:color w:val="000000"/>
          <w:lang w:val="sr-Latn-CS"/>
        </w:rPr>
        <w:t>NKM je nastavila saradnju i razmenu iskustava sa EPRA-om, prisustvujući dvema konferencijama organizovanim od strane Evropske platforme regulatornih tela (EPRA), članica koje je i NKM od 2003. godine.</w:t>
      </w:r>
      <w:r w:rsidRPr="00B4287C">
        <w:rPr>
          <w:lang w:val="sr-Latn-CS"/>
        </w:rPr>
        <w:t xml:space="preserve"> </w:t>
      </w:r>
    </w:p>
    <w:p w:rsidR="00E843CB" w:rsidRPr="00B4287C" w:rsidRDefault="00E843CB" w:rsidP="004D0D72">
      <w:pPr>
        <w:jc w:val="both"/>
        <w:rPr>
          <w:color w:val="000000"/>
          <w:lang w:val="sr-Latn-CS"/>
        </w:rPr>
      </w:pPr>
    </w:p>
    <w:p w:rsidR="00E843CB" w:rsidRPr="00B4287C" w:rsidRDefault="00E843CB" w:rsidP="004D0D72">
      <w:pPr>
        <w:jc w:val="both"/>
        <w:rPr>
          <w:color w:val="000000"/>
          <w:lang w:val="sr-Latn-CS"/>
        </w:rPr>
      </w:pPr>
      <w:r>
        <w:rPr>
          <w:color w:val="000000"/>
          <w:lang w:val="sr-Latn-CS"/>
        </w:rPr>
        <w:t>NKM je novembra 2011. godine</w:t>
      </w:r>
      <w:r w:rsidRPr="00B4287C">
        <w:rPr>
          <w:color w:val="000000"/>
          <w:lang w:val="sr-Latn-CS"/>
        </w:rPr>
        <w:t xml:space="preserve"> </w:t>
      </w:r>
      <w:r>
        <w:rPr>
          <w:color w:val="000000"/>
          <w:lang w:val="sr-Latn-CS"/>
        </w:rPr>
        <w:t xml:space="preserve">primljena kao posmatrač u Mediteransku mrežu regulatornih tela (MNRA), organizaciju koja ima za cilj uspostavljanje osnova diskusije i stalne razmene informacija i istraživanja o temama koje se tiču regulisanja audiovizuelne oblasti. </w:t>
      </w:r>
    </w:p>
    <w:p w:rsidR="00E843CB" w:rsidRPr="00B4287C" w:rsidRDefault="00E843CB" w:rsidP="004D0D72">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Default="00E843CB" w:rsidP="006740F1">
      <w:pPr>
        <w:jc w:val="both"/>
        <w:rPr>
          <w:color w:val="000000"/>
          <w:lang w:val="sr-Latn-CS"/>
        </w:rPr>
      </w:pPr>
    </w:p>
    <w:p w:rsidR="00E843CB"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Default="00E843CB" w:rsidP="006740F1">
      <w:pPr>
        <w:jc w:val="both"/>
        <w:rPr>
          <w:color w:val="000000"/>
          <w:lang w:val="sr-Latn-CS"/>
        </w:rPr>
      </w:pPr>
    </w:p>
    <w:p w:rsidR="00E843CB" w:rsidRPr="00B4287C" w:rsidRDefault="00E843CB" w:rsidP="006740F1">
      <w:pPr>
        <w:jc w:val="both"/>
        <w:rPr>
          <w:color w:val="000000"/>
          <w:lang w:val="sr-Latn-CS"/>
        </w:rPr>
      </w:pPr>
    </w:p>
    <w:p w:rsidR="00E843CB" w:rsidRPr="00B4287C" w:rsidRDefault="00E843CB" w:rsidP="004D0D72">
      <w:pPr>
        <w:spacing w:line="360" w:lineRule="auto"/>
        <w:rPr>
          <w:b/>
          <w:bCs/>
          <w:lang w:val="sr-Latn-CS"/>
        </w:rPr>
      </w:pPr>
      <w:r>
        <w:rPr>
          <w:b/>
          <w:bCs/>
          <w:lang w:val="sr-Latn-CS"/>
        </w:rPr>
        <w:t xml:space="preserve">KORIŠĆENE SKRAĆENICE </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NKM</w:t>
      </w:r>
      <w:r w:rsidRPr="00B4287C">
        <w:rPr>
          <w:lang w:val="sr-Latn-CS"/>
        </w:rPr>
        <w:t xml:space="preserve"> </w:t>
      </w:r>
      <w:r>
        <w:rPr>
          <w:lang w:val="sr-Latn-CS"/>
        </w:rPr>
        <w:t>– Nezavisna komisija za medije</w:t>
      </w:r>
      <w:r w:rsidRPr="00B4287C">
        <w:rPr>
          <w:lang w:val="sr-Latn-CS"/>
        </w:rPr>
        <w:t xml:space="preserve"> </w:t>
      </w:r>
    </w:p>
    <w:p w:rsidR="00E843CB" w:rsidRPr="00B4287C" w:rsidRDefault="00E843CB" w:rsidP="004D0D72">
      <w:pPr>
        <w:spacing w:line="360" w:lineRule="auto"/>
        <w:rPr>
          <w:color w:val="000000"/>
          <w:lang w:val="sr-Latn-CS"/>
        </w:rPr>
      </w:pPr>
    </w:p>
    <w:p w:rsidR="00E843CB" w:rsidRPr="00B4287C" w:rsidRDefault="00E843CB" w:rsidP="004D0D72">
      <w:pPr>
        <w:spacing w:line="360" w:lineRule="auto"/>
        <w:rPr>
          <w:lang w:val="sr-Latn-CS"/>
        </w:rPr>
      </w:pPr>
      <w:r>
        <w:rPr>
          <w:color w:val="000000"/>
          <w:lang w:val="sr-Latn-CS"/>
        </w:rPr>
        <w:t>DAZLP – Državna agencija za zaštitu ličnih podataka</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sidRPr="00B4287C">
        <w:rPr>
          <w:lang w:val="sr-Latn-CS"/>
        </w:rPr>
        <w:t xml:space="preserve">ITU </w:t>
      </w:r>
      <w:r>
        <w:rPr>
          <w:lang w:val="sr-Latn-CS"/>
        </w:rPr>
        <w:t>–</w:t>
      </w:r>
      <w:r w:rsidRPr="00B4287C">
        <w:rPr>
          <w:lang w:val="sr-Latn-CS"/>
        </w:rPr>
        <w:t xml:space="preserve"> </w:t>
      </w:r>
      <w:r>
        <w:rPr>
          <w:lang w:val="sr-Latn-CS"/>
        </w:rPr>
        <w:t>Međunarodna unija za telekomunikacije</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OŽM – Odbor za žalbe medija</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OMA – Odeljenje za monitoring i analizu</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OUF – Odeljenje za upravljanje frekvencijama</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 xml:space="preserve">OL – Odeljenje za licenciranje </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KO – Kablovski operator</w:t>
      </w:r>
      <w:r w:rsidRPr="00B4287C">
        <w:rPr>
          <w:lang w:val="sr-Latn-CS"/>
        </w:rPr>
        <w:t xml:space="preserve"> </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Pr>
          <w:lang w:val="sr-Latn-CS"/>
        </w:rPr>
        <w:t>PPU – Provajderi programskih usluga</w:t>
      </w:r>
    </w:p>
    <w:p w:rsidR="00E843CB" w:rsidRPr="00B4287C" w:rsidRDefault="00E843CB" w:rsidP="004D0D72">
      <w:pPr>
        <w:spacing w:line="360" w:lineRule="auto"/>
        <w:rPr>
          <w:lang w:val="sr-Latn-CS"/>
        </w:rPr>
      </w:pPr>
    </w:p>
    <w:p w:rsidR="00E843CB" w:rsidRPr="00B4287C" w:rsidRDefault="00E843CB" w:rsidP="004D0D72">
      <w:pPr>
        <w:spacing w:line="360" w:lineRule="auto"/>
        <w:rPr>
          <w:lang w:val="sr-Latn-CS"/>
        </w:rPr>
      </w:pPr>
      <w:r w:rsidRPr="00B4287C">
        <w:rPr>
          <w:lang w:val="sr-Latn-CS"/>
        </w:rPr>
        <w:t>P</w:t>
      </w:r>
      <w:r>
        <w:rPr>
          <w:lang w:val="sr-Latn-CS"/>
        </w:rPr>
        <w:t>JI – Projekti za javne investicije</w:t>
      </w:r>
    </w:p>
    <w:p w:rsidR="00E843CB" w:rsidRPr="00B4287C" w:rsidRDefault="00E843CB" w:rsidP="004D0D72">
      <w:pPr>
        <w:spacing w:line="360" w:lineRule="auto"/>
        <w:rPr>
          <w:lang w:val="sr-Latn-CS"/>
        </w:rPr>
      </w:pPr>
    </w:p>
    <w:p w:rsidR="00E843CB" w:rsidRPr="00B4287C" w:rsidRDefault="00E843CB" w:rsidP="004D0D72">
      <w:pPr>
        <w:spacing w:line="360" w:lineRule="auto"/>
        <w:rPr>
          <w:color w:val="000000"/>
          <w:lang w:val="sr-Latn-CS"/>
        </w:rPr>
      </w:pPr>
      <w:r>
        <w:rPr>
          <w:lang w:val="sr-Latn-CS"/>
        </w:rPr>
        <w:t>EPRA – Evropska platforma regulatornih tela</w:t>
      </w:r>
      <w:r w:rsidRPr="00B4287C">
        <w:rPr>
          <w:lang w:val="sr-Latn-CS"/>
        </w:rPr>
        <w:t xml:space="preserve"> </w:t>
      </w:r>
    </w:p>
    <w:p w:rsidR="00E843CB" w:rsidRPr="00B4287C" w:rsidRDefault="00E843CB" w:rsidP="004D0D72">
      <w:pPr>
        <w:spacing w:line="360" w:lineRule="auto"/>
        <w:rPr>
          <w:color w:val="000000"/>
          <w:lang w:val="sr-Latn-CS"/>
        </w:rPr>
      </w:pPr>
    </w:p>
    <w:p w:rsidR="00E843CB" w:rsidRPr="00B4287C" w:rsidRDefault="00E843CB" w:rsidP="004D0D72">
      <w:pPr>
        <w:spacing w:line="360" w:lineRule="auto"/>
        <w:rPr>
          <w:color w:val="000000"/>
          <w:lang w:val="sr-Latn-CS"/>
        </w:rPr>
      </w:pPr>
      <w:r w:rsidRPr="00B4287C">
        <w:rPr>
          <w:color w:val="000000"/>
          <w:lang w:val="sr-Latn-CS"/>
        </w:rPr>
        <w:t xml:space="preserve">MNRA  –  </w:t>
      </w:r>
      <w:r>
        <w:rPr>
          <w:color w:val="000000"/>
          <w:lang w:val="sr-Latn-CS"/>
        </w:rPr>
        <w:t>Mediteranska mreža regulatornih tela</w:t>
      </w:r>
    </w:p>
    <w:p w:rsidR="00E843CB" w:rsidRPr="00B4287C" w:rsidRDefault="00E843CB" w:rsidP="004D0D72">
      <w:pPr>
        <w:spacing w:line="360" w:lineRule="auto"/>
        <w:rPr>
          <w:lang w:val="sr-Latn-CS"/>
        </w:rPr>
      </w:pPr>
    </w:p>
    <w:sectPr w:rsidR="00E843CB" w:rsidRPr="00B4287C" w:rsidSect="006D0E11">
      <w:headerReference w:type="default" r:id="rId10"/>
      <w:footerReference w:type="default" r:id="rId11"/>
      <w:headerReference w:type="first" r:id="rId12"/>
      <w:footerReference w:type="first" r:id="rId13"/>
      <w:pgSz w:w="11906" w:h="16838" w:code="9"/>
      <w:pgMar w:top="1258" w:right="1134" w:bottom="1258" w:left="1134" w:header="454"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CB" w:rsidRDefault="00E843CB">
      <w:r>
        <w:separator/>
      </w:r>
    </w:p>
  </w:endnote>
  <w:endnote w:type="continuationSeparator" w:id="0">
    <w:p w:rsidR="00E843CB" w:rsidRDefault="00E8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neidler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CB" w:rsidRDefault="00E843CB" w:rsidP="009471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43CB" w:rsidRPr="000F57AD" w:rsidRDefault="00E843CB" w:rsidP="00823275">
    <w:pPr>
      <w:pStyle w:val="Footer"/>
      <w:ind w:right="360"/>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CB" w:rsidRDefault="00E843CB">
    <w:pPr>
      <w:pStyle w:val="Footer"/>
    </w:pPr>
    <w:r>
      <w:rPr>
        <w:noProof/>
        <w:lang w:val="en-US"/>
      </w:rPr>
      <w:pict>
        <v:shapetype id="_x0000_t202" coordsize="21600,21600" o:spt="202" path="m,l,21600r21600,l21600,xe">
          <v:stroke joinstyle="miter"/>
          <v:path gradientshapeok="t" o:connecttype="rect"/>
        </v:shapetype>
        <v:shape id="_x0000_s2050" type="#_x0000_t202" style="position:absolute;margin-left:9pt;margin-top:-1.75pt;width:459pt;height:27.65pt;z-index:251657216" filled="f" stroked="f">
          <v:textbox style="mso-next-textbox:#_x0000_s2050" inset=",0,,0">
            <w:txbxContent>
              <w:p w:rsidR="00E843CB" w:rsidRPr="00BF5028" w:rsidRDefault="00E843CB" w:rsidP="00823275">
                <w:pPr>
                  <w:spacing w:line="480" w:lineRule="auto"/>
                  <w:jc w:val="center"/>
                  <w:rPr>
                    <w:rFonts w:ascii="Tahoma" w:hAnsi="Tahoma" w:cs="Tahoma"/>
                    <w:color w:val="808080"/>
                    <w:sz w:val="16"/>
                    <w:szCs w:val="16"/>
                  </w:rPr>
                </w:pPr>
              </w:p>
              <w:p w:rsidR="00E843CB" w:rsidRPr="00BF5028" w:rsidRDefault="00E843CB" w:rsidP="00823275">
                <w:pPr>
                  <w:spacing w:line="480" w:lineRule="auto"/>
                  <w:jc w:val="center"/>
                  <w:rPr>
                    <w:color w:val="808080"/>
                  </w:rPr>
                </w:pP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CB" w:rsidRDefault="00E843CB">
      <w:r>
        <w:separator/>
      </w:r>
    </w:p>
  </w:footnote>
  <w:footnote w:type="continuationSeparator" w:id="0">
    <w:p w:rsidR="00E843CB" w:rsidRDefault="00E843CB">
      <w:r>
        <w:continuationSeparator/>
      </w:r>
    </w:p>
  </w:footnote>
  <w:footnote w:id="1">
    <w:p w:rsidR="00E843CB" w:rsidRPr="005E7D8F" w:rsidRDefault="00E843CB" w:rsidP="008150EC">
      <w:pPr>
        <w:pStyle w:val="FootnoteText"/>
        <w:rPr>
          <w:lang w:val="sr-Latn-CS"/>
        </w:rPr>
      </w:pPr>
      <w:r w:rsidRPr="005E7D8F">
        <w:rPr>
          <w:rStyle w:val="FootnoteReference"/>
          <w:lang w:val="sr-Latn-CS"/>
        </w:rPr>
        <w:footnoteRef/>
      </w:r>
      <w:r w:rsidRPr="005E7D8F">
        <w:rPr>
          <w:lang w:val="sr-Latn-CS"/>
        </w:rPr>
        <w:t xml:space="preserve"> </w:t>
      </w:r>
      <w:r>
        <w:rPr>
          <w:lang w:val="sr-Latn-CS"/>
        </w:rPr>
        <w:t>Kao što je i rečeno u izveštaju o radu NKM za 2010. godinu</w:t>
      </w:r>
      <w:r w:rsidRPr="005E7D8F">
        <w:rPr>
          <w:lang w:val="sr-Latn-CS"/>
        </w:rPr>
        <w:t xml:space="preserve"> (</w:t>
      </w:r>
      <w:r>
        <w:rPr>
          <w:lang w:val="sr-Latn-CS"/>
        </w:rPr>
        <w:t>str</w:t>
      </w:r>
      <w:r w:rsidRPr="005E7D8F">
        <w:rPr>
          <w:lang w:val="sr-Latn-CS"/>
        </w:rPr>
        <w:t xml:space="preserve">. 13): </w:t>
      </w:r>
    </w:p>
    <w:p w:rsidR="00E843CB" w:rsidRDefault="00E843CB" w:rsidP="008150EC">
      <w:pPr>
        <w:pStyle w:val="FootnoteText"/>
      </w:pPr>
      <w:hyperlink r:id="rId1" w:history="1">
        <w:r w:rsidRPr="005E7D8F">
          <w:rPr>
            <w:rStyle w:val="Hyperlink"/>
            <w:lang w:val="sr-Latn-CS"/>
          </w:rPr>
          <w:t>http://kpm-ks.org/materiale/dokument/1304587848.809.pdf</w:t>
        </w:r>
      </w:hyperlink>
    </w:p>
  </w:footnote>
  <w:footnote w:id="2">
    <w:p w:rsidR="00E843CB" w:rsidRDefault="00E843CB">
      <w:pPr>
        <w:pStyle w:val="FootnoteText"/>
      </w:pPr>
      <w:r w:rsidRPr="005E7D8F">
        <w:rPr>
          <w:rStyle w:val="FootnoteReference"/>
          <w:lang w:val="sr-Latn-CS"/>
        </w:rPr>
        <w:footnoteRef/>
      </w:r>
      <w:r w:rsidRPr="005E7D8F">
        <w:rPr>
          <w:lang w:val="sr-Latn-CS"/>
        </w:rPr>
        <w:t xml:space="preserve"> </w:t>
      </w:r>
      <w:r>
        <w:rPr>
          <w:lang w:val="sr-Latn-CS"/>
        </w:rPr>
        <w:t xml:space="preserve">Direktiva </w:t>
      </w:r>
      <w:r w:rsidRPr="005E7D8F">
        <w:rPr>
          <w:lang w:val="sr-Latn-CS"/>
        </w:rPr>
        <w:t>AVMS (</w:t>
      </w:r>
      <w:r>
        <w:rPr>
          <w:lang w:val="sr-Latn-CS"/>
        </w:rPr>
        <w:t>eng.</w:t>
      </w:r>
      <w:r w:rsidRPr="005E7D8F">
        <w:rPr>
          <w:lang w:val="sr-Latn-CS"/>
        </w:rPr>
        <w:t xml:space="preserve"> Audiovisual Media Services Direktive) </w:t>
      </w:r>
      <w:r>
        <w:rPr>
          <w:lang w:val="sr-Latn-CS"/>
        </w:rPr>
        <w:t>je Direktiva EU o audiovizuelnim medijskim servisima</w:t>
      </w:r>
      <w:r w:rsidRPr="005E7D8F">
        <w:rPr>
          <w:lang w:val="sr-Latn-CS"/>
        </w:rPr>
        <w:t xml:space="preserve"> </w:t>
      </w:r>
    </w:p>
  </w:footnote>
  <w:footnote w:id="3">
    <w:p w:rsidR="00E843CB" w:rsidRDefault="00E843CB">
      <w:pPr>
        <w:pStyle w:val="FootnoteText"/>
      </w:pPr>
      <w:r w:rsidRPr="005E7D8F">
        <w:rPr>
          <w:rStyle w:val="FootnoteReference"/>
          <w:lang w:val="sr-Latn-CS"/>
        </w:rPr>
        <w:footnoteRef/>
      </w:r>
      <w:r w:rsidRPr="005E7D8F">
        <w:rPr>
          <w:lang w:val="sr-Latn-CS"/>
        </w:rPr>
        <w:t xml:space="preserve"> </w:t>
      </w:r>
      <w:r>
        <w:rPr>
          <w:lang w:val="sr-Latn-CS"/>
        </w:rPr>
        <w:t>Izveštaji ispitivanja su objavljeni na internet stranici NKM</w:t>
      </w:r>
      <w:r w:rsidRPr="005E7D8F">
        <w:rPr>
          <w:lang w:val="sr-Latn-CS"/>
        </w:rPr>
        <w:t xml:space="preserve">: </w:t>
      </w:r>
      <w:hyperlink r:id="rId2" w:history="1">
        <w:r w:rsidRPr="00045D25">
          <w:rPr>
            <w:rStyle w:val="Hyperlink"/>
            <w:lang w:val="sr-Latn-CS"/>
          </w:rPr>
          <w:t>www.kpm-ks.org</w:t>
        </w:r>
      </w:hyperlink>
    </w:p>
  </w:footnote>
  <w:footnote w:id="4">
    <w:p w:rsidR="00E843CB" w:rsidRDefault="00E843CB">
      <w:pPr>
        <w:pStyle w:val="FootnoteText"/>
      </w:pPr>
      <w:r w:rsidRPr="005E7D8F">
        <w:rPr>
          <w:rStyle w:val="FootnoteReference"/>
          <w:lang w:val="sr-Latn-CS"/>
        </w:rPr>
        <w:footnoteRef/>
      </w:r>
      <w:r w:rsidRPr="005E7D8F">
        <w:rPr>
          <w:lang w:val="sr-Latn-CS"/>
        </w:rPr>
        <w:t xml:space="preserve"> Pri</w:t>
      </w:r>
      <w:r>
        <w:rPr>
          <w:lang w:val="sr-Latn-CS"/>
        </w:rPr>
        <w:t xml:space="preserve">ština, Podujevo, </w:t>
      </w:r>
      <w:r w:rsidRPr="005E7D8F">
        <w:rPr>
          <w:lang w:val="sr-Latn-CS"/>
        </w:rPr>
        <w:t>Junik, Re</w:t>
      </w:r>
      <w:r>
        <w:rPr>
          <w:lang w:val="sr-Latn-CS"/>
        </w:rPr>
        <w:t>č</w:t>
      </w:r>
      <w:r w:rsidRPr="005E7D8F">
        <w:rPr>
          <w:lang w:val="sr-Latn-CS"/>
        </w:rPr>
        <w:t>an</w:t>
      </w:r>
      <w:r>
        <w:rPr>
          <w:lang w:val="sr-Latn-CS"/>
        </w:rPr>
        <w:t>e</w:t>
      </w:r>
      <w:r w:rsidRPr="005E7D8F">
        <w:rPr>
          <w:lang w:val="sr-Latn-CS"/>
        </w:rPr>
        <w:t>, Ka</w:t>
      </w:r>
      <w:r>
        <w:rPr>
          <w:lang w:val="sr-Latn-CS"/>
        </w:rPr>
        <w:t>č</w:t>
      </w:r>
      <w:r w:rsidRPr="005E7D8F">
        <w:rPr>
          <w:lang w:val="sr-Latn-CS"/>
        </w:rPr>
        <w:t>anik, Lip</w:t>
      </w:r>
      <w:r>
        <w:rPr>
          <w:lang w:val="sr-Latn-CS"/>
        </w:rPr>
        <w:t>l</w:t>
      </w:r>
      <w:r w:rsidRPr="005E7D8F">
        <w:rPr>
          <w:lang w:val="sr-Latn-CS"/>
        </w:rPr>
        <w:t>jan, Mitrovic</w:t>
      </w:r>
      <w:r>
        <w:rPr>
          <w:lang w:val="sr-Latn-CS"/>
        </w:rPr>
        <w:t>a</w:t>
      </w:r>
      <w:r w:rsidRPr="005E7D8F">
        <w:rPr>
          <w:lang w:val="sr-Latn-CS"/>
        </w:rPr>
        <w:t xml:space="preserve">, </w:t>
      </w:r>
      <w:r>
        <w:rPr>
          <w:lang w:val="sr-Latn-CS"/>
        </w:rPr>
        <w:t>Đeneral Janković (Elez Han)</w:t>
      </w:r>
    </w:p>
  </w:footnote>
  <w:footnote w:id="5">
    <w:p w:rsidR="00E843CB" w:rsidRDefault="00E843CB">
      <w:pPr>
        <w:pStyle w:val="FootnoteText"/>
      </w:pPr>
      <w:r w:rsidRPr="005E7D8F">
        <w:rPr>
          <w:rStyle w:val="FootnoteReference"/>
          <w:lang w:val="sr-Latn-CS"/>
        </w:rPr>
        <w:footnoteRef/>
      </w:r>
      <w:r w:rsidRPr="005E7D8F">
        <w:rPr>
          <w:lang w:val="sr-Latn-CS"/>
        </w:rPr>
        <w:t xml:space="preserve"> </w:t>
      </w:r>
      <w:r>
        <w:rPr>
          <w:color w:val="000000"/>
          <w:sz w:val="16"/>
          <w:szCs w:val="16"/>
          <w:lang w:val="sr-Latn-CS"/>
        </w:rPr>
        <w:t xml:space="preserve">Prema zakonu br. </w:t>
      </w:r>
      <w:r w:rsidRPr="005E7D8F">
        <w:rPr>
          <w:color w:val="000000"/>
          <w:sz w:val="16"/>
          <w:szCs w:val="16"/>
          <w:lang w:val="sr-Latn-CS"/>
        </w:rPr>
        <w:t xml:space="preserve"> 02/L15 </w:t>
      </w:r>
      <w:r>
        <w:rPr>
          <w:color w:val="000000"/>
          <w:sz w:val="16"/>
          <w:szCs w:val="16"/>
          <w:lang w:val="sr-Latn-CS"/>
        </w:rPr>
        <w:t xml:space="preserve">odnosno članu </w:t>
      </w:r>
      <w:r w:rsidRPr="005E7D8F">
        <w:rPr>
          <w:color w:val="000000"/>
          <w:sz w:val="16"/>
          <w:szCs w:val="16"/>
          <w:lang w:val="sr-Latn-CS"/>
        </w:rPr>
        <w:t xml:space="preserve">4.4 b) </w:t>
      </w:r>
      <w:r>
        <w:rPr>
          <w:color w:val="000000"/>
          <w:sz w:val="16"/>
          <w:szCs w:val="16"/>
          <w:lang w:val="sr-Latn-CS"/>
        </w:rPr>
        <w:t>Kancelarija izvršnog šefa je 8. septembra 2010. godine uputila javni poziv za nominacije članova Saveta NKM</w:t>
      </w:r>
    </w:p>
  </w:footnote>
  <w:footnote w:id="6">
    <w:p w:rsidR="00E843CB" w:rsidRPr="005E7D8F" w:rsidRDefault="00E843CB" w:rsidP="002A4342">
      <w:pPr>
        <w:pStyle w:val="FootnoteText"/>
        <w:rPr>
          <w:color w:val="000000"/>
          <w:sz w:val="16"/>
          <w:szCs w:val="16"/>
          <w:lang w:val="sr-Latn-CS"/>
        </w:rPr>
      </w:pPr>
      <w:r w:rsidRPr="005E7D8F">
        <w:rPr>
          <w:color w:val="000000"/>
          <w:sz w:val="16"/>
          <w:szCs w:val="16"/>
          <w:lang w:val="sr-Latn-CS"/>
        </w:rPr>
        <w:footnoteRef/>
      </w:r>
      <w:r>
        <w:rPr>
          <w:color w:val="000000"/>
          <w:sz w:val="16"/>
          <w:szCs w:val="16"/>
          <w:lang w:val="sr-Latn-CS"/>
        </w:rPr>
        <w:t xml:space="preserve"> Pogledajte Aneks II izveštaj o monotoringu – Saglasnost audiovizuelnih medijskih servisa sa uredbom o zaštiti dece i maloletnika od štetnog programskog sadržaja</w:t>
      </w:r>
      <w:r w:rsidRPr="005E7D8F">
        <w:rPr>
          <w:color w:val="000000"/>
          <w:sz w:val="16"/>
          <w:szCs w:val="16"/>
          <w:lang w:val="sr-Latn-CS"/>
        </w:rPr>
        <w:t>.</w:t>
      </w:r>
    </w:p>
    <w:p w:rsidR="00E843CB" w:rsidRDefault="00E843CB" w:rsidP="002A4342">
      <w:pPr>
        <w:pStyle w:val="FootnoteText"/>
      </w:pPr>
    </w:p>
  </w:footnote>
  <w:footnote w:id="7">
    <w:p w:rsidR="00E843CB" w:rsidRPr="005E7D8F" w:rsidRDefault="00E843CB" w:rsidP="00B47D6B">
      <w:pPr>
        <w:pStyle w:val="FootnoteText"/>
        <w:rPr>
          <w:color w:val="000000"/>
          <w:sz w:val="16"/>
          <w:szCs w:val="16"/>
          <w:lang w:val="sr-Latn-CS"/>
        </w:rPr>
      </w:pPr>
      <w:r w:rsidRPr="005E7D8F">
        <w:rPr>
          <w:color w:val="000000"/>
          <w:sz w:val="16"/>
          <w:szCs w:val="16"/>
          <w:lang w:val="sr-Latn-CS"/>
        </w:rPr>
        <w:footnoteRef/>
      </w:r>
      <w:r>
        <w:rPr>
          <w:color w:val="000000"/>
          <w:sz w:val="16"/>
          <w:szCs w:val="16"/>
          <w:lang w:val="sr-Latn-CS"/>
        </w:rPr>
        <w:t xml:space="preserve"> Pogledajte Aneks III Izveštaj o monitoringu – saglasnost  audiovizuelnih medijskih servisa sa Uredbom o komercijalnoj komunikaciji</w:t>
      </w:r>
    </w:p>
    <w:p w:rsidR="00E843CB" w:rsidRDefault="00E843CB" w:rsidP="00B47D6B">
      <w:pPr>
        <w:pStyle w:val="FootnoteText"/>
      </w:pPr>
    </w:p>
  </w:footnote>
  <w:footnote w:id="8">
    <w:p w:rsidR="00E843CB" w:rsidRPr="005E7D8F" w:rsidRDefault="00E843CB" w:rsidP="00225F01">
      <w:pPr>
        <w:pStyle w:val="FootnoteText"/>
        <w:rPr>
          <w:color w:val="000000"/>
          <w:sz w:val="16"/>
          <w:szCs w:val="16"/>
          <w:lang w:val="sr-Latn-CS"/>
        </w:rPr>
      </w:pPr>
      <w:r w:rsidRPr="005E7D8F">
        <w:rPr>
          <w:color w:val="000000"/>
          <w:sz w:val="16"/>
          <w:szCs w:val="16"/>
          <w:lang w:val="sr-Latn-CS"/>
        </w:rPr>
        <w:footnoteRef/>
      </w:r>
      <w:r w:rsidRPr="005E7D8F">
        <w:rPr>
          <w:color w:val="000000"/>
          <w:sz w:val="16"/>
          <w:szCs w:val="16"/>
          <w:lang w:val="sr-Latn-CS"/>
        </w:rPr>
        <w:t xml:space="preserve"> </w:t>
      </w:r>
      <w:r>
        <w:rPr>
          <w:color w:val="000000"/>
          <w:sz w:val="16"/>
          <w:szCs w:val="16"/>
          <w:lang w:val="sr-Latn-CS"/>
        </w:rPr>
        <w:t>Pogledajte Aneks IV, Izveštaj o monitoringu – saglasnost audiovizuelnih medijskih servisa sa autorskim pravom</w:t>
      </w:r>
    </w:p>
    <w:p w:rsidR="00E843CB" w:rsidRDefault="00E843CB" w:rsidP="00225F01">
      <w:pPr>
        <w:pStyle w:val="FootnoteText"/>
      </w:pPr>
    </w:p>
  </w:footnote>
  <w:footnote w:id="9">
    <w:p w:rsidR="00E843CB" w:rsidRPr="005E7D8F" w:rsidRDefault="00E843CB" w:rsidP="00A23BF6">
      <w:pPr>
        <w:pStyle w:val="FootnoteText"/>
        <w:rPr>
          <w:color w:val="000000"/>
          <w:sz w:val="16"/>
          <w:szCs w:val="16"/>
          <w:lang w:val="sr-Latn-CS"/>
        </w:rPr>
      </w:pPr>
      <w:r w:rsidRPr="005E7D8F">
        <w:rPr>
          <w:color w:val="000000"/>
          <w:sz w:val="16"/>
          <w:szCs w:val="16"/>
          <w:lang w:val="sr-Latn-CS"/>
        </w:rPr>
        <w:footnoteRef/>
      </w:r>
      <w:r>
        <w:rPr>
          <w:color w:val="000000"/>
          <w:sz w:val="16"/>
          <w:szCs w:val="16"/>
          <w:lang w:val="sr-Latn-CS"/>
        </w:rPr>
        <w:t xml:space="preserve"> Pogledajte Aneks V, Izveštaj o monitoringu – saglasnost elektronskih medija sa 3 delom licence</w:t>
      </w:r>
    </w:p>
    <w:p w:rsidR="00E843CB" w:rsidRDefault="00E843CB" w:rsidP="00A23BF6">
      <w:pPr>
        <w:pStyle w:val="FootnoteText"/>
      </w:pPr>
    </w:p>
  </w:footnote>
  <w:footnote w:id="10">
    <w:p w:rsidR="00E843CB" w:rsidRDefault="00E843CB">
      <w:pPr>
        <w:pStyle w:val="FootnoteText"/>
      </w:pPr>
      <w:r w:rsidRPr="005E7D8F">
        <w:rPr>
          <w:rStyle w:val="FootnoteReference"/>
          <w:lang w:val="sr-Latn-CS"/>
        </w:rPr>
        <w:footnoteRef/>
      </w:r>
      <w:r w:rsidRPr="005E7D8F">
        <w:rPr>
          <w:lang w:val="sr-Latn-CS"/>
        </w:rPr>
        <w:t xml:space="preserve"> Tabela </w:t>
      </w:r>
      <w:r>
        <w:rPr>
          <w:lang w:val="sr-Latn-CS"/>
        </w:rPr>
        <w:t>pravnih predmeta</w:t>
      </w:r>
    </w:p>
  </w:footnote>
  <w:footnote w:id="11">
    <w:p w:rsidR="00E843CB" w:rsidRPr="005E7D8F" w:rsidRDefault="00E843CB" w:rsidP="0033313D">
      <w:pPr>
        <w:jc w:val="both"/>
        <w:rPr>
          <w:i/>
          <w:iCs/>
          <w:lang w:val="sr-Latn-CS"/>
        </w:rPr>
      </w:pPr>
      <w:r w:rsidRPr="005E7D8F">
        <w:rPr>
          <w:rStyle w:val="FootnoteReference"/>
          <w:lang w:val="sr-Latn-CS"/>
        </w:rPr>
        <w:footnoteRef/>
      </w:r>
      <w:r w:rsidRPr="005E7D8F">
        <w:rPr>
          <w:lang w:val="sr-Latn-CS"/>
        </w:rPr>
        <w:t xml:space="preserve"> </w:t>
      </w:r>
      <w:r>
        <w:rPr>
          <w:i/>
          <w:iCs/>
          <w:sz w:val="18"/>
          <w:szCs w:val="18"/>
          <w:lang w:val="sr-Latn-CS"/>
        </w:rPr>
        <w:t xml:space="preserve">U Aneksu </w:t>
      </w:r>
      <w:r w:rsidRPr="005E7D8F">
        <w:rPr>
          <w:i/>
          <w:iCs/>
          <w:sz w:val="18"/>
          <w:szCs w:val="18"/>
          <w:lang w:val="sr-Latn-CS"/>
        </w:rPr>
        <w:t xml:space="preserve">VII </w:t>
      </w:r>
      <w:r>
        <w:rPr>
          <w:i/>
          <w:iCs/>
          <w:sz w:val="18"/>
          <w:szCs w:val="18"/>
          <w:lang w:val="sr-Latn-CS"/>
        </w:rPr>
        <w:t>izveštaja su uključene karte pokrivenosti radio i TV signalom od nacionalnih radio-televizijskih stanica i lokalnih/regionalnih televizija</w:t>
      </w:r>
      <w:r w:rsidRPr="005E7D8F">
        <w:rPr>
          <w:i/>
          <w:iCs/>
          <w:sz w:val="18"/>
          <w:szCs w:val="18"/>
          <w:lang w:val="sr-Latn-CS"/>
        </w:rPr>
        <w:t>.</w:t>
      </w:r>
      <w:r w:rsidRPr="005E7D8F">
        <w:rPr>
          <w:i/>
          <w:iCs/>
          <w:lang w:val="sr-Latn-CS"/>
        </w:rPr>
        <w:t xml:space="preserve">  </w:t>
      </w:r>
    </w:p>
    <w:p w:rsidR="00E843CB" w:rsidRDefault="00E843CB" w:rsidP="0033313D">
      <w:pPr>
        <w:jc w:val="both"/>
      </w:pPr>
    </w:p>
  </w:footnote>
  <w:footnote w:id="12">
    <w:p w:rsidR="00E843CB" w:rsidRPr="00F46757" w:rsidRDefault="00E843CB" w:rsidP="00F46757">
      <w:pPr>
        <w:pStyle w:val="FootnoteText"/>
        <w:rPr>
          <w:lang w:val="en-US"/>
        </w:rPr>
      </w:pPr>
      <w:r w:rsidRPr="005E7D8F">
        <w:rPr>
          <w:lang w:val="sr-Latn-CS"/>
        </w:rPr>
        <w:footnoteRef/>
      </w:r>
      <w:r>
        <w:rPr>
          <w:lang w:val="sr-Latn-CS"/>
        </w:rPr>
        <w:t>Finansijski izveštaj za 2011. godinu</w:t>
      </w:r>
    </w:p>
    <w:p w:rsidR="00E843CB" w:rsidRDefault="00E843CB" w:rsidP="00F4675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CB" w:rsidRDefault="00E84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CB" w:rsidRDefault="00E843CB" w:rsidP="00823275">
    <w:pPr>
      <w:pStyle w:val="Header"/>
      <w:jc w:val="cente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279pt;margin-top:12.2pt;width:189pt;height:45pt;z-index:251658240" filled="f" stroked="f">
          <v:textbox style="mso-next-textbox:#_x0000_s2049">
            <w:txbxContent>
              <w:p w:rsidR="00E843CB" w:rsidRPr="00972FAC" w:rsidRDefault="00E843CB" w:rsidP="00823275">
                <w:pPr>
                  <w:rPr>
                    <w:lang w:val="it-IT"/>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8414F48"/>
    <w:multiLevelType w:val="hybridMultilevel"/>
    <w:tmpl w:val="A7669FF2"/>
    <w:lvl w:ilvl="0" w:tplc="04090013">
      <w:start w:val="1"/>
      <w:numFmt w:val="upp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BE49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4291404"/>
    <w:multiLevelType w:val="hybridMultilevel"/>
    <w:tmpl w:val="5D0C276C"/>
    <w:lvl w:ilvl="0" w:tplc="791489AE">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0B492D"/>
    <w:multiLevelType w:val="hybridMultilevel"/>
    <w:tmpl w:val="FBF48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B0540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1A23F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775F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0B02AF5"/>
    <w:multiLevelType w:val="hybridMultilevel"/>
    <w:tmpl w:val="02A49F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964032"/>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29371B"/>
    <w:multiLevelType w:val="hybridMultilevel"/>
    <w:tmpl w:val="45AE84F6"/>
    <w:lvl w:ilvl="0" w:tplc="F8D6D5B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95C7B2F"/>
    <w:multiLevelType w:val="hybridMultilevel"/>
    <w:tmpl w:val="138C251E"/>
    <w:lvl w:ilvl="0" w:tplc="12D858B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A466B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DB1D7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5249F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76349A"/>
    <w:multiLevelType w:val="multilevel"/>
    <w:tmpl w:val="F03AA296"/>
    <w:lvl w:ilvl="0">
      <w:numFmt w:val="none"/>
      <w:pStyle w:val="Heading1"/>
      <w:lvlText w:val=""/>
      <w:lvlJc w:val="left"/>
      <w:pPr>
        <w:tabs>
          <w:tab w:val="num" w:pos="360"/>
        </w:tabs>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3959380C"/>
    <w:multiLevelType w:val="hybridMultilevel"/>
    <w:tmpl w:val="E83858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AF79A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E65C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1D00D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8A3687"/>
    <w:multiLevelType w:val="hybridMultilevel"/>
    <w:tmpl w:val="F9CE0572"/>
    <w:lvl w:ilvl="0" w:tplc="D9D690A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507579E"/>
    <w:multiLevelType w:val="multilevel"/>
    <w:tmpl w:val="A3BE5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115043"/>
    <w:multiLevelType w:val="hybridMultilevel"/>
    <w:tmpl w:val="B8869A58"/>
    <w:lvl w:ilvl="0" w:tplc="74F4338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BDA25C7"/>
    <w:multiLevelType w:val="hybridMultilevel"/>
    <w:tmpl w:val="36DE72E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5E65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6A823B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32573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8D94809"/>
    <w:multiLevelType w:val="hybridMultilevel"/>
    <w:tmpl w:val="41D8809E"/>
    <w:lvl w:ilvl="0" w:tplc="433CC3C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6706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9F766B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946D35"/>
    <w:multiLevelType w:val="hybridMultilevel"/>
    <w:tmpl w:val="974CBF8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6B9B6A6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AC1A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39E4A6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6A4B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F5105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8020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C870E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23"/>
  </w:num>
  <w:num w:numId="3">
    <w:abstractNumId w:val="0"/>
  </w:num>
  <w:num w:numId="4">
    <w:abstractNumId w:val="9"/>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num>
  <w:num w:numId="9">
    <w:abstractNumId w:val="8"/>
  </w:num>
  <w:num w:numId="10">
    <w:abstractNumId w:val="33"/>
  </w:num>
  <w:num w:numId="11">
    <w:abstractNumId w:val="26"/>
  </w:num>
  <w:num w:numId="12">
    <w:abstractNumId w:val="37"/>
  </w:num>
  <w:num w:numId="13">
    <w:abstractNumId w:val="6"/>
  </w:num>
  <w:num w:numId="14">
    <w:abstractNumId w:val="32"/>
  </w:num>
  <w:num w:numId="15">
    <w:abstractNumId w:val="31"/>
  </w:num>
  <w:num w:numId="16">
    <w:abstractNumId w:val="7"/>
  </w:num>
  <w:num w:numId="17">
    <w:abstractNumId w:val="29"/>
  </w:num>
  <w:num w:numId="18">
    <w:abstractNumId w:val="4"/>
  </w:num>
  <w:num w:numId="19">
    <w:abstractNumId w:val="11"/>
  </w:num>
  <w:num w:numId="20">
    <w:abstractNumId w:val="36"/>
  </w:num>
  <w:num w:numId="21">
    <w:abstractNumId w:val="25"/>
  </w:num>
  <w:num w:numId="22">
    <w:abstractNumId w:val="27"/>
  </w:num>
  <w:num w:numId="23">
    <w:abstractNumId w:val="22"/>
  </w:num>
  <w:num w:numId="24">
    <w:abstractNumId w:val="10"/>
  </w:num>
  <w:num w:numId="25">
    <w:abstractNumId w:val="20"/>
  </w:num>
  <w:num w:numId="26">
    <w:abstractNumId w:val="16"/>
  </w:num>
  <w:num w:numId="27">
    <w:abstractNumId w:val="2"/>
  </w:num>
  <w:num w:numId="28">
    <w:abstractNumId w:val="5"/>
  </w:num>
  <w:num w:numId="29">
    <w:abstractNumId w:val="24"/>
  </w:num>
  <w:num w:numId="30">
    <w:abstractNumId w:val="13"/>
  </w:num>
  <w:num w:numId="31">
    <w:abstractNumId w:val="19"/>
  </w:num>
  <w:num w:numId="32">
    <w:abstractNumId w:val="14"/>
  </w:num>
  <w:num w:numId="33">
    <w:abstractNumId w:val="17"/>
  </w:num>
  <w:num w:numId="34">
    <w:abstractNumId w:val="34"/>
  </w:num>
  <w:num w:numId="35">
    <w:abstractNumId w:val="28"/>
  </w:num>
  <w:num w:numId="36">
    <w:abstractNumId w:val="12"/>
  </w:num>
  <w:num w:numId="37">
    <w:abstractNumId w:val="18"/>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67A"/>
    <w:rsid w:val="0000196A"/>
    <w:rsid w:val="000037EF"/>
    <w:rsid w:val="00006E33"/>
    <w:rsid w:val="000108FE"/>
    <w:rsid w:val="00010C9A"/>
    <w:rsid w:val="00013011"/>
    <w:rsid w:val="000135D4"/>
    <w:rsid w:val="0001393A"/>
    <w:rsid w:val="000207E1"/>
    <w:rsid w:val="00020A1A"/>
    <w:rsid w:val="000219C5"/>
    <w:rsid w:val="00022163"/>
    <w:rsid w:val="00023F4C"/>
    <w:rsid w:val="00025AE3"/>
    <w:rsid w:val="000332E9"/>
    <w:rsid w:val="00034159"/>
    <w:rsid w:val="0003756F"/>
    <w:rsid w:val="0004041E"/>
    <w:rsid w:val="00042372"/>
    <w:rsid w:val="0004405F"/>
    <w:rsid w:val="00045D25"/>
    <w:rsid w:val="0004777C"/>
    <w:rsid w:val="00047EA6"/>
    <w:rsid w:val="000501E3"/>
    <w:rsid w:val="00050624"/>
    <w:rsid w:val="000508E0"/>
    <w:rsid w:val="0005152C"/>
    <w:rsid w:val="00052255"/>
    <w:rsid w:val="00056BFA"/>
    <w:rsid w:val="00060107"/>
    <w:rsid w:val="00060FCE"/>
    <w:rsid w:val="0006444E"/>
    <w:rsid w:val="00066092"/>
    <w:rsid w:val="000705B4"/>
    <w:rsid w:val="00070B89"/>
    <w:rsid w:val="00076AAD"/>
    <w:rsid w:val="000801D2"/>
    <w:rsid w:val="00082F5A"/>
    <w:rsid w:val="00086BC2"/>
    <w:rsid w:val="00090217"/>
    <w:rsid w:val="000904F0"/>
    <w:rsid w:val="000910A9"/>
    <w:rsid w:val="000912E7"/>
    <w:rsid w:val="00091C32"/>
    <w:rsid w:val="00095C01"/>
    <w:rsid w:val="000A0983"/>
    <w:rsid w:val="000A12CF"/>
    <w:rsid w:val="000A2CA3"/>
    <w:rsid w:val="000A2D79"/>
    <w:rsid w:val="000A680C"/>
    <w:rsid w:val="000B49E9"/>
    <w:rsid w:val="000B51FC"/>
    <w:rsid w:val="000B6301"/>
    <w:rsid w:val="000C03E7"/>
    <w:rsid w:val="000C3779"/>
    <w:rsid w:val="000C6F91"/>
    <w:rsid w:val="000C77B3"/>
    <w:rsid w:val="000D006E"/>
    <w:rsid w:val="000D0A57"/>
    <w:rsid w:val="000D2A79"/>
    <w:rsid w:val="000D4B7B"/>
    <w:rsid w:val="000D56D1"/>
    <w:rsid w:val="000D56DE"/>
    <w:rsid w:val="000D7A04"/>
    <w:rsid w:val="000E04B2"/>
    <w:rsid w:val="000E35B7"/>
    <w:rsid w:val="000E64EF"/>
    <w:rsid w:val="000F57AD"/>
    <w:rsid w:val="00102579"/>
    <w:rsid w:val="0011206D"/>
    <w:rsid w:val="0011456E"/>
    <w:rsid w:val="00114A8C"/>
    <w:rsid w:val="00114C40"/>
    <w:rsid w:val="0011527A"/>
    <w:rsid w:val="00116BF3"/>
    <w:rsid w:val="00122DC4"/>
    <w:rsid w:val="00123B8E"/>
    <w:rsid w:val="00126BC8"/>
    <w:rsid w:val="00127C1C"/>
    <w:rsid w:val="00132066"/>
    <w:rsid w:val="0013216C"/>
    <w:rsid w:val="001327BF"/>
    <w:rsid w:val="00132F0A"/>
    <w:rsid w:val="0014071F"/>
    <w:rsid w:val="00144913"/>
    <w:rsid w:val="001509E7"/>
    <w:rsid w:val="0015185D"/>
    <w:rsid w:val="00153F62"/>
    <w:rsid w:val="00155FB0"/>
    <w:rsid w:val="00156AB9"/>
    <w:rsid w:val="00162164"/>
    <w:rsid w:val="0016467D"/>
    <w:rsid w:val="00164D45"/>
    <w:rsid w:val="00165447"/>
    <w:rsid w:val="0016639C"/>
    <w:rsid w:val="00172D0C"/>
    <w:rsid w:val="0017373C"/>
    <w:rsid w:val="00174D8B"/>
    <w:rsid w:val="00182E7E"/>
    <w:rsid w:val="00183B09"/>
    <w:rsid w:val="001845C3"/>
    <w:rsid w:val="0018484E"/>
    <w:rsid w:val="00185AB1"/>
    <w:rsid w:val="00185E19"/>
    <w:rsid w:val="001879BC"/>
    <w:rsid w:val="00187D28"/>
    <w:rsid w:val="00191378"/>
    <w:rsid w:val="00191C8E"/>
    <w:rsid w:val="00192847"/>
    <w:rsid w:val="00193D09"/>
    <w:rsid w:val="00193DB2"/>
    <w:rsid w:val="00195928"/>
    <w:rsid w:val="00195E8B"/>
    <w:rsid w:val="0019692E"/>
    <w:rsid w:val="001A0747"/>
    <w:rsid w:val="001A07B4"/>
    <w:rsid w:val="001A1585"/>
    <w:rsid w:val="001A29A0"/>
    <w:rsid w:val="001A2D41"/>
    <w:rsid w:val="001A4851"/>
    <w:rsid w:val="001A52DA"/>
    <w:rsid w:val="001A54BC"/>
    <w:rsid w:val="001B47A3"/>
    <w:rsid w:val="001B76E3"/>
    <w:rsid w:val="001B7875"/>
    <w:rsid w:val="001B7D0B"/>
    <w:rsid w:val="001C184F"/>
    <w:rsid w:val="001C4252"/>
    <w:rsid w:val="001C4FBE"/>
    <w:rsid w:val="001C7605"/>
    <w:rsid w:val="001C77E8"/>
    <w:rsid w:val="001D10B1"/>
    <w:rsid w:val="001D2AEF"/>
    <w:rsid w:val="001D2B29"/>
    <w:rsid w:val="001D30C1"/>
    <w:rsid w:val="001D4E4A"/>
    <w:rsid w:val="001D4ED3"/>
    <w:rsid w:val="001D6C8F"/>
    <w:rsid w:val="001E21C6"/>
    <w:rsid w:val="001E2FDB"/>
    <w:rsid w:val="001E5CAA"/>
    <w:rsid w:val="001E69BA"/>
    <w:rsid w:val="001E75DC"/>
    <w:rsid w:val="001E790C"/>
    <w:rsid w:val="001F14BB"/>
    <w:rsid w:val="001F18C6"/>
    <w:rsid w:val="001F1C4A"/>
    <w:rsid w:val="001F3521"/>
    <w:rsid w:val="001F54C3"/>
    <w:rsid w:val="00203D75"/>
    <w:rsid w:val="0020435A"/>
    <w:rsid w:val="00204482"/>
    <w:rsid w:val="00205B9A"/>
    <w:rsid w:val="00207B93"/>
    <w:rsid w:val="00210218"/>
    <w:rsid w:val="002124D4"/>
    <w:rsid w:val="0021297F"/>
    <w:rsid w:val="00215195"/>
    <w:rsid w:val="0021564A"/>
    <w:rsid w:val="00216CB1"/>
    <w:rsid w:val="002172B1"/>
    <w:rsid w:val="0022011A"/>
    <w:rsid w:val="00220A68"/>
    <w:rsid w:val="00223FEB"/>
    <w:rsid w:val="00225F01"/>
    <w:rsid w:val="002263CE"/>
    <w:rsid w:val="00233218"/>
    <w:rsid w:val="002360B6"/>
    <w:rsid w:val="00240ECC"/>
    <w:rsid w:val="00244016"/>
    <w:rsid w:val="002509C1"/>
    <w:rsid w:val="00252E85"/>
    <w:rsid w:val="0025767A"/>
    <w:rsid w:val="00264523"/>
    <w:rsid w:val="00266792"/>
    <w:rsid w:val="00270169"/>
    <w:rsid w:val="0027038B"/>
    <w:rsid w:val="002735FB"/>
    <w:rsid w:val="0027387F"/>
    <w:rsid w:val="00275C74"/>
    <w:rsid w:val="00275F02"/>
    <w:rsid w:val="002763D0"/>
    <w:rsid w:val="00281D09"/>
    <w:rsid w:val="00283062"/>
    <w:rsid w:val="002838FB"/>
    <w:rsid w:val="00290B16"/>
    <w:rsid w:val="00291327"/>
    <w:rsid w:val="002918B2"/>
    <w:rsid w:val="0029643F"/>
    <w:rsid w:val="00297AE3"/>
    <w:rsid w:val="002A0BBE"/>
    <w:rsid w:val="002A4342"/>
    <w:rsid w:val="002A58E2"/>
    <w:rsid w:val="002A6EF2"/>
    <w:rsid w:val="002B02C6"/>
    <w:rsid w:val="002B19B6"/>
    <w:rsid w:val="002B27C4"/>
    <w:rsid w:val="002B3266"/>
    <w:rsid w:val="002B39D9"/>
    <w:rsid w:val="002B49FE"/>
    <w:rsid w:val="002B785C"/>
    <w:rsid w:val="002C09E0"/>
    <w:rsid w:val="002C1DB6"/>
    <w:rsid w:val="002C2C12"/>
    <w:rsid w:val="002C58A3"/>
    <w:rsid w:val="002D1D92"/>
    <w:rsid w:val="002D6C58"/>
    <w:rsid w:val="002E5E52"/>
    <w:rsid w:val="002E5F33"/>
    <w:rsid w:val="002F08EE"/>
    <w:rsid w:val="002F338A"/>
    <w:rsid w:val="002F37DC"/>
    <w:rsid w:val="002F4158"/>
    <w:rsid w:val="002F711E"/>
    <w:rsid w:val="002F7623"/>
    <w:rsid w:val="00300CB2"/>
    <w:rsid w:val="00302B3A"/>
    <w:rsid w:val="00302F97"/>
    <w:rsid w:val="00303083"/>
    <w:rsid w:val="00305808"/>
    <w:rsid w:val="003072C6"/>
    <w:rsid w:val="00310EED"/>
    <w:rsid w:val="00313787"/>
    <w:rsid w:val="00316510"/>
    <w:rsid w:val="00317415"/>
    <w:rsid w:val="00317E55"/>
    <w:rsid w:val="00321869"/>
    <w:rsid w:val="00324D80"/>
    <w:rsid w:val="00325B70"/>
    <w:rsid w:val="00325C14"/>
    <w:rsid w:val="00331363"/>
    <w:rsid w:val="00332760"/>
    <w:rsid w:val="003328DB"/>
    <w:rsid w:val="0033313D"/>
    <w:rsid w:val="003333AC"/>
    <w:rsid w:val="00334CC9"/>
    <w:rsid w:val="0033660A"/>
    <w:rsid w:val="00336E9C"/>
    <w:rsid w:val="003379C9"/>
    <w:rsid w:val="00341790"/>
    <w:rsid w:val="003436A2"/>
    <w:rsid w:val="00343EFF"/>
    <w:rsid w:val="00344AD4"/>
    <w:rsid w:val="00345243"/>
    <w:rsid w:val="00350359"/>
    <w:rsid w:val="00350393"/>
    <w:rsid w:val="00350395"/>
    <w:rsid w:val="003515A5"/>
    <w:rsid w:val="00354049"/>
    <w:rsid w:val="00357960"/>
    <w:rsid w:val="00360470"/>
    <w:rsid w:val="003604DD"/>
    <w:rsid w:val="00361247"/>
    <w:rsid w:val="00365976"/>
    <w:rsid w:val="003665FE"/>
    <w:rsid w:val="00371A47"/>
    <w:rsid w:val="0037326B"/>
    <w:rsid w:val="003858D2"/>
    <w:rsid w:val="00385C61"/>
    <w:rsid w:val="0038618E"/>
    <w:rsid w:val="003861BC"/>
    <w:rsid w:val="00386652"/>
    <w:rsid w:val="00387536"/>
    <w:rsid w:val="003878C6"/>
    <w:rsid w:val="00391279"/>
    <w:rsid w:val="00394AB7"/>
    <w:rsid w:val="00395162"/>
    <w:rsid w:val="0039787F"/>
    <w:rsid w:val="003A0111"/>
    <w:rsid w:val="003A0D16"/>
    <w:rsid w:val="003A3B34"/>
    <w:rsid w:val="003A59EA"/>
    <w:rsid w:val="003A7E07"/>
    <w:rsid w:val="003B2F6A"/>
    <w:rsid w:val="003B62EC"/>
    <w:rsid w:val="003B68DE"/>
    <w:rsid w:val="003C144E"/>
    <w:rsid w:val="003C4681"/>
    <w:rsid w:val="003C52EF"/>
    <w:rsid w:val="003D31E5"/>
    <w:rsid w:val="003D42C0"/>
    <w:rsid w:val="003D6E3D"/>
    <w:rsid w:val="003E163C"/>
    <w:rsid w:val="003E21D9"/>
    <w:rsid w:val="003E3341"/>
    <w:rsid w:val="003F23E1"/>
    <w:rsid w:val="00401CCA"/>
    <w:rsid w:val="00405395"/>
    <w:rsid w:val="00406033"/>
    <w:rsid w:val="0041045B"/>
    <w:rsid w:val="00413F2E"/>
    <w:rsid w:val="004167BE"/>
    <w:rsid w:val="00422C67"/>
    <w:rsid w:val="004240B8"/>
    <w:rsid w:val="0042464F"/>
    <w:rsid w:val="00425AA7"/>
    <w:rsid w:val="00434C72"/>
    <w:rsid w:val="0043583D"/>
    <w:rsid w:val="00435CDA"/>
    <w:rsid w:val="00437A3F"/>
    <w:rsid w:val="00441022"/>
    <w:rsid w:val="00441ECE"/>
    <w:rsid w:val="00442279"/>
    <w:rsid w:val="00445F27"/>
    <w:rsid w:val="004467F6"/>
    <w:rsid w:val="00453626"/>
    <w:rsid w:val="00454478"/>
    <w:rsid w:val="00454DF1"/>
    <w:rsid w:val="00455854"/>
    <w:rsid w:val="0045742F"/>
    <w:rsid w:val="00462739"/>
    <w:rsid w:val="00464229"/>
    <w:rsid w:val="00464AA9"/>
    <w:rsid w:val="00464B73"/>
    <w:rsid w:val="00466997"/>
    <w:rsid w:val="00470177"/>
    <w:rsid w:val="0047192B"/>
    <w:rsid w:val="00477556"/>
    <w:rsid w:val="00477C97"/>
    <w:rsid w:val="00477D7E"/>
    <w:rsid w:val="004800C4"/>
    <w:rsid w:val="00481665"/>
    <w:rsid w:val="00486213"/>
    <w:rsid w:val="00490012"/>
    <w:rsid w:val="00490666"/>
    <w:rsid w:val="00491DF0"/>
    <w:rsid w:val="00492341"/>
    <w:rsid w:val="00493883"/>
    <w:rsid w:val="00493F25"/>
    <w:rsid w:val="00496E42"/>
    <w:rsid w:val="004A1D66"/>
    <w:rsid w:val="004A34F6"/>
    <w:rsid w:val="004A37AD"/>
    <w:rsid w:val="004A4CC3"/>
    <w:rsid w:val="004B1891"/>
    <w:rsid w:val="004B1F2C"/>
    <w:rsid w:val="004B2C47"/>
    <w:rsid w:val="004B5696"/>
    <w:rsid w:val="004B733F"/>
    <w:rsid w:val="004B7890"/>
    <w:rsid w:val="004C537A"/>
    <w:rsid w:val="004C6915"/>
    <w:rsid w:val="004D0D72"/>
    <w:rsid w:val="004D34F0"/>
    <w:rsid w:val="004D59AB"/>
    <w:rsid w:val="004D6C1E"/>
    <w:rsid w:val="004D6F65"/>
    <w:rsid w:val="004E22D9"/>
    <w:rsid w:val="004E5179"/>
    <w:rsid w:val="004E7697"/>
    <w:rsid w:val="004F0544"/>
    <w:rsid w:val="004F1515"/>
    <w:rsid w:val="004F2AE8"/>
    <w:rsid w:val="004F4F85"/>
    <w:rsid w:val="004F5050"/>
    <w:rsid w:val="00501D5B"/>
    <w:rsid w:val="005032A1"/>
    <w:rsid w:val="0050574D"/>
    <w:rsid w:val="005070ED"/>
    <w:rsid w:val="005077FB"/>
    <w:rsid w:val="0050792C"/>
    <w:rsid w:val="00511D93"/>
    <w:rsid w:val="00511E80"/>
    <w:rsid w:val="005137FE"/>
    <w:rsid w:val="00514245"/>
    <w:rsid w:val="00516B39"/>
    <w:rsid w:val="00531B15"/>
    <w:rsid w:val="00531F65"/>
    <w:rsid w:val="0053269C"/>
    <w:rsid w:val="0053452C"/>
    <w:rsid w:val="00534799"/>
    <w:rsid w:val="005364B5"/>
    <w:rsid w:val="00540A55"/>
    <w:rsid w:val="0054323A"/>
    <w:rsid w:val="005439D6"/>
    <w:rsid w:val="00550F99"/>
    <w:rsid w:val="00551488"/>
    <w:rsid w:val="00552667"/>
    <w:rsid w:val="00553A5E"/>
    <w:rsid w:val="00553FCE"/>
    <w:rsid w:val="0055582C"/>
    <w:rsid w:val="00555AC1"/>
    <w:rsid w:val="00556016"/>
    <w:rsid w:val="00557D88"/>
    <w:rsid w:val="00561020"/>
    <w:rsid w:val="00562625"/>
    <w:rsid w:val="00564FB6"/>
    <w:rsid w:val="005656E1"/>
    <w:rsid w:val="00565D9E"/>
    <w:rsid w:val="00566AF9"/>
    <w:rsid w:val="0056718B"/>
    <w:rsid w:val="005679BE"/>
    <w:rsid w:val="005701CA"/>
    <w:rsid w:val="00574907"/>
    <w:rsid w:val="00577005"/>
    <w:rsid w:val="00577076"/>
    <w:rsid w:val="0058113B"/>
    <w:rsid w:val="00583028"/>
    <w:rsid w:val="00583C36"/>
    <w:rsid w:val="00585582"/>
    <w:rsid w:val="00586A2B"/>
    <w:rsid w:val="00586EBD"/>
    <w:rsid w:val="005A0016"/>
    <w:rsid w:val="005A114E"/>
    <w:rsid w:val="005A1191"/>
    <w:rsid w:val="005A7755"/>
    <w:rsid w:val="005A7D79"/>
    <w:rsid w:val="005B022E"/>
    <w:rsid w:val="005B0F88"/>
    <w:rsid w:val="005B4452"/>
    <w:rsid w:val="005B4F65"/>
    <w:rsid w:val="005C1852"/>
    <w:rsid w:val="005C27A9"/>
    <w:rsid w:val="005D2E6C"/>
    <w:rsid w:val="005D6770"/>
    <w:rsid w:val="005D6DFB"/>
    <w:rsid w:val="005D7F47"/>
    <w:rsid w:val="005E0DEE"/>
    <w:rsid w:val="005E1144"/>
    <w:rsid w:val="005E265A"/>
    <w:rsid w:val="005E4F4F"/>
    <w:rsid w:val="005E563E"/>
    <w:rsid w:val="005E63A5"/>
    <w:rsid w:val="005E7D8F"/>
    <w:rsid w:val="005F3B18"/>
    <w:rsid w:val="005F6BB8"/>
    <w:rsid w:val="005F6DFB"/>
    <w:rsid w:val="00610070"/>
    <w:rsid w:val="0061195B"/>
    <w:rsid w:val="00614AE8"/>
    <w:rsid w:val="00616F35"/>
    <w:rsid w:val="006208A0"/>
    <w:rsid w:val="00621706"/>
    <w:rsid w:val="00624AFD"/>
    <w:rsid w:val="00627A0B"/>
    <w:rsid w:val="00630B00"/>
    <w:rsid w:val="00630F54"/>
    <w:rsid w:val="006313AF"/>
    <w:rsid w:val="0063154C"/>
    <w:rsid w:val="0063267E"/>
    <w:rsid w:val="006333AB"/>
    <w:rsid w:val="00633450"/>
    <w:rsid w:val="00633C61"/>
    <w:rsid w:val="00637CB3"/>
    <w:rsid w:val="00643953"/>
    <w:rsid w:val="0064429C"/>
    <w:rsid w:val="00644881"/>
    <w:rsid w:val="0064608F"/>
    <w:rsid w:val="006511EB"/>
    <w:rsid w:val="00651A7B"/>
    <w:rsid w:val="00652080"/>
    <w:rsid w:val="006520F5"/>
    <w:rsid w:val="00652C34"/>
    <w:rsid w:val="00655E24"/>
    <w:rsid w:val="006573A3"/>
    <w:rsid w:val="00661E5E"/>
    <w:rsid w:val="00662AC6"/>
    <w:rsid w:val="00664290"/>
    <w:rsid w:val="0066487D"/>
    <w:rsid w:val="00664A2D"/>
    <w:rsid w:val="006653DC"/>
    <w:rsid w:val="0067106D"/>
    <w:rsid w:val="006740F1"/>
    <w:rsid w:val="00677EFF"/>
    <w:rsid w:val="00683A70"/>
    <w:rsid w:val="006841AC"/>
    <w:rsid w:val="00686279"/>
    <w:rsid w:val="0068679D"/>
    <w:rsid w:val="00692472"/>
    <w:rsid w:val="006932B2"/>
    <w:rsid w:val="00697ED0"/>
    <w:rsid w:val="006A000C"/>
    <w:rsid w:val="006A3023"/>
    <w:rsid w:val="006A4362"/>
    <w:rsid w:val="006B05EE"/>
    <w:rsid w:val="006B2B86"/>
    <w:rsid w:val="006B3AA5"/>
    <w:rsid w:val="006B6E87"/>
    <w:rsid w:val="006B7052"/>
    <w:rsid w:val="006C4062"/>
    <w:rsid w:val="006C44E4"/>
    <w:rsid w:val="006C7FAC"/>
    <w:rsid w:val="006D0E11"/>
    <w:rsid w:val="006D7B4A"/>
    <w:rsid w:val="006D7DC9"/>
    <w:rsid w:val="006E04B4"/>
    <w:rsid w:val="006E391A"/>
    <w:rsid w:val="006E4051"/>
    <w:rsid w:val="006E4D1E"/>
    <w:rsid w:val="006F2FF7"/>
    <w:rsid w:val="006F3881"/>
    <w:rsid w:val="006F5F93"/>
    <w:rsid w:val="0070242E"/>
    <w:rsid w:val="00702C8B"/>
    <w:rsid w:val="007043F4"/>
    <w:rsid w:val="00706E4D"/>
    <w:rsid w:val="00711872"/>
    <w:rsid w:val="007127AC"/>
    <w:rsid w:val="007160CC"/>
    <w:rsid w:val="00724138"/>
    <w:rsid w:val="00724F6D"/>
    <w:rsid w:val="007325FA"/>
    <w:rsid w:val="007341B3"/>
    <w:rsid w:val="00735BD8"/>
    <w:rsid w:val="0073683C"/>
    <w:rsid w:val="00736EDD"/>
    <w:rsid w:val="007370CA"/>
    <w:rsid w:val="007409B6"/>
    <w:rsid w:val="00744809"/>
    <w:rsid w:val="00745B63"/>
    <w:rsid w:val="0075172F"/>
    <w:rsid w:val="00755837"/>
    <w:rsid w:val="007559A2"/>
    <w:rsid w:val="007560BD"/>
    <w:rsid w:val="00757C86"/>
    <w:rsid w:val="007619E4"/>
    <w:rsid w:val="00761C55"/>
    <w:rsid w:val="00764BAA"/>
    <w:rsid w:val="0076662C"/>
    <w:rsid w:val="007717E5"/>
    <w:rsid w:val="00772146"/>
    <w:rsid w:val="007741E6"/>
    <w:rsid w:val="00774CC5"/>
    <w:rsid w:val="00775518"/>
    <w:rsid w:val="00780C87"/>
    <w:rsid w:val="00781710"/>
    <w:rsid w:val="0078312F"/>
    <w:rsid w:val="00784F4D"/>
    <w:rsid w:val="00787E9C"/>
    <w:rsid w:val="00793992"/>
    <w:rsid w:val="007A12D0"/>
    <w:rsid w:val="007A187E"/>
    <w:rsid w:val="007A21F7"/>
    <w:rsid w:val="007B10E5"/>
    <w:rsid w:val="007B7CAD"/>
    <w:rsid w:val="007C3CE8"/>
    <w:rsid w:val="007C636E"/>
    <w:rsid w:val="007C64E6"/>
    <w:rsid w:val="007C6AC3"/>
    <w:rsid w:val="007D2175"/>
    <w:rsid w:val="007D6CD9"/>
    <w:rsid w:val="007D7495"/>
    <w:rsid w:val="007E0843"/>
    <w:rsid w:val="007E19D3"/>
    <w:rsid w:val="007F4B54"/>
    <w:rsid w:val="007F5BEF"/>
    <w:rsid w:val="007F7DEC"/>
    <w:rsid w:val="0080033A"/>
    <w:rsid w:val="008016CC"/>
    <w:rsid w:val="00801C60"/>
    <w:rsid w:val="0080282D"/>
    <w:rsid w:val="00804CA9"/>
    <w:rsid w:val="00806AAC"/>
    <w:rsid w:val="00806C88"/>
    <w:rsid w:val="008136B8"/>
    <w:rsid w:val="008150EC"/>
    <w:rsid w:val="00815890"/>
    <w:rsid w:val="00816A1F"/>
    <w:rsid w:val="00820291"/>
    <w:rsid w:val="00823275"/>
    <w:rsid w:val="00824EF1"/>
    <w:rsid w:val="0082765E"/>
    <w:rsid w:val="00831E39"/>
    <w:rsid w:val="008333E6"/>
    <w:rsid w:val="00833F8E"/>
    <w:rsid w:val="00837864"/>
    <w:rsid w:val="00840929"/>
    <w:rsid w:val="0084108C"/>
    <w:rsid w:val="008434B9"/>
    <w:rsid w:val="00843859"/>
    <w:rsid w:val="00845FEF"/>
    <w:rsid w:val="0085225A"/>
    <w:rsid w:val="00852C58"/>
    <w:rsid w:val="00853DE4"/>
    <w:rsid w:val="00857C1F"/>
    <w:rsid w:val="008602DB"/>
    <w:rsid w:val="00864A83"/>
    <w:rsid w:val="00864B86"/>
    <w:rsid w:val="008658BD"/>
    <w:rsid w:val="00866EA8"/>
    <w:rsid w:val="0087226F"/>
    <w:rsid w:val="00873BB0"/>
    <w:rsid w:val="00874568"/>
    <w:rsid w:val="00875A63"/>
    <w:rsid w:val="00877C8A"/>
    <w:rsid w:val="00884883"/>
    <w:rsid w:val="00885633"/>
    <w:rsid w:val="00886389"/>
    <w:rsid w:val="00890683"/>
    <w:rsid w:val="00893A62"/>
    <w:rsid w:val="00894782"/>
    <w:rsid w:val="008977A1"/>
    <w:rsid w:val="00897B0C"/>
    <w:rsid w:val="008A09A3"/>
    <w:rsid w:val="008A1588"/>
    <w:rsid w:val="008A273F"/>
    <w:rsid w:val="008B0C79"/>
    <w:rsid w:val="008B19FE"/>
    <w:rsid w:val="008B2A59"/>
    <w:rsid w:val="008B314F"/>
    <w:rsid w:val="008B3D53"/>
    <w:rsid w:val="008B51E2"/>
    <w:rsid w:val="008C0D30"/>
    <w:rsid w:val="008C22B1"/>
    <w:rsid w:val="008C29FC"/>
    <w:rsid w:val="008C2F5C"/>
    <w:rsid w:val="008C32DA"/>
    <w:rsid w:val="008D1667"/>
    <w:rsid w:val="008D2E57"/>
    <w:rsid w:val="008D5005"/>
    <w:rsid w:val="008D7C40"/>
    <w:rsid w:val="008E1CFB"/>
    <w:rsid w:val="008E38CC"/>
    <w:rsid w:val="008E61E9"/>
    <w:rsid w:val="008E6FC1"/>
    <w:rsid w:val="008F0A72"/>
    <w:rsid w:val="008F2BC8"/>
    <w:rsid w:val="008F52E3"/>
    <w:rsid w:val="00901B3C"/>
    <w:rsid w:val="00902A05"/>
    <w:rsid w:val="00902C49"/>
    <w:rsid w:val="0091005C"/>
    <w:rsid w:val="00910757"/>
    <w:rsid w:val="009246E3"/>
    <w:rsid w:val="00924991"/>
    <w:rsid w:val="009271CE"/>
    <w:rsid w:val="00930119"/>
    <w:rsid w:val="009316FF"/>
    <w:rsid w:val="00935756"/>
    <w:rsid w:val="009364A2"/>
    <w:rsid w:val="009408E7"/>
    <w:rsid w:val="00940C0B"/>
    <w:rsid w:val="009431A6"/>
    <w:rsid w:val="00946675"/>
    <w:rsid w:val="00947121"/>
    <w:rsid w:val="00952A6A"/>
    <w:rsid w:val="00952B53"/>
    <w:rsid w:val="00952E2E"/>
    <w:rsid w:val="00954A9E"/>
    <w:rsid w:val="00956874"/>
    <w:rsid w:val="00960E75"/>
    <w:rsid w:val="00961505"/>
    <w:rsid w:val="009637C0"/>
    <w:rsid w:val="00963A68"/>
    <w:rsid w:val="00964D68"/>
    <w:rsid w:val="00964DA9"/>
    <w:rsid w:val="009657D8"/>
    <w:rsid w:val="00965C2A"/>
    <w:rsid w:val="00966076"/>
    <w:rsid w:val="00966B25"/>
    <w:rsid w:val="009679D6"/>
    <w:rsid w:val="00967B13"/>
    <w:rsid w:val="00967DF2"/>
    <w:rsid w:val="00971B66"/>
    <w:rsid w:val="00971FAF"/>
    <w:rsid w:val="00972FAC"/>
    <w:rsid w:val="00974D72"/>
    <w:rsid w:val="00984325"/>
    <w:rsid w:val="00993F99"/>
    <w:rsid w:val="00996226"/>
    <w:rsid w:val="009A1BF6"/>
    <w:rsid w:val="009A2F62"/>
    <w:rsid w:val="009A4366"/>
    <w:rsid w:val="009B105E"/>
    <w:rsid w:val="009B2A93"/>
    <w:rsid w:val="009B459C"/>
    <w:rsid w:val="009B4FCC"/>
    <w:rsid w:val="009B5E95"/>
    <w:rsid w:val="009C0DEE"/>
    <w:rsid w:val="009C289F"/>
    <w:rsid w:val="009C319E"/>
    <w:rsid w:val="009C370D"/>
    <w:rsid w:val="009C41A9"/>
    <w:rsid w:val="009C4D22"/>
    <w:rsid w:val="009D1882"/>
    <w:rsid w:val="009D78B9"/>
    <w:rsid w:val="009E0A62"/>
    <w:rsid w:val="009E1265"/>
    <w:rsid w:val="009E589B"/>
    <w:rsid w:val="009F0FBA"/>
    <w:rsid w:val="009F2ADD"/>
    <w:rsid w:val="009F2C8D"/>
    <w:rsid w:val="009F46ED"/>
    <w:rsid w:val="009F79D2"/>
    <w:rsid w:val="009F7B66"/>
    <w:rsid w:val="00A00FE2"/>
    <w:rsid w:val="00A01AB8"/>
    <w:rsid w:val="00A027E7"/>
    <w:rsid w:val="00A02FE9"/>
    <w:rsid w:val="00A0419D"/>
    <w:rsid w:val="00A05B08"/>
    <w:rsid w:val="00A05BEF"/>
    <w:rsid w:val="00A10857"/>
    <w:rsid w:val="00A1499D"/>
    <w:rsid w:val="00A16912"/>
    <w:rsid w:val="00A16FA4"/>
    <w:rsid w:val="00A176F1"/>
    <w:rsid w:val="00A21A83"/>
    <w:rsid w:val="00A224DA"/>
    <w:rsid w:val="00A23BF6"/>
    <w:rsid w:val="00A24F1F"/>
    <w:rsid w:val="00A252F5"/>
    <w:rsid w:val="00A2771B"/>
    <w:rsid w:val="00A30A8D"/>
    <w:rsid w:val="00A3117D"/>
    <w:rsid w:val="00A312E6"/>
    <w:rsid w:val="00A31F55"/>
    <w:rsid w:val="00A3448F"/>
    <w:rsid w:val="00A35729"/>
    <w:rsid w:val="00A36112"/>
    <w:rsid w:val="00A435E3"/>
    <w:rsid w:val="00A50799"/>
    <w:rsid w:val="00A606AC"/>
    <w:rsid w:val="00A62E80"/>
    <w:rsid w:val="00A63EE5"/>
    <w:rsid w:val="00A64DD4"/>
    <w:rsid w:val="00A67947"/>
    <w:rsid w:val="00A7393A"/>
    <w:rsid w:val="00A73D55"/>
    <w:rsid w:val="00A7438F"/>
    <w:rsid w:val="00A74A50"/>
    <w:rsid w:val="00A75368"/>
    <w:rsid w:val="00A82553"/>
    <w:rsid w:val="00A91DBB"/>
    <w:rsid w:val="00A92029"/>
    <w:rsid w:val="00A93E16"/>
    <w:rsid w:val="00A959C2"/>
    <w:rsid w:val="00A95A97"/>
    <w:rsid w:val="00A95D7C"/>
    <w:rsid w:val="00A96D11"/>
    <w:rsid w:val="00A97102"/>
    <w:rsid w:val="00AA03EE"/>
    <w:rsid w:val="00AA1596"/>
    <w:rsid w:val="00AA3E80"/>
    <w:rsid w:val="00AA4599"/>
    <w:rsid w:val="00AA766C"/>
    <w:rsid w:val="00AB0C8E"/>
    <w:rsid w:val="00AB0E1B"/>
    <w:rsid w:val="00AB4FAD"/>
    <w:rsid w:val="00AC0061"/>
    <w:rsid w:val="00AC220D"/>
    <w:rsid w:val="00AD292D"/>
    <w:rsid w:val="00AD2B04"/>
    <w:rsid w:val="00AD52EF"/>
    <w:rsid w:val="00AD5751"/>
    <w:rsid w:val="00AE31B8"/>
    <w:rsid w:val="00AE355C"/>
    <w:rsid w:val="00AE40BA"/>
    <w:rsid w:val="00AF26D9"/>
    <w:rsid w:val="00AF4712"/>
    <w:rsid w:val="00AF7B81"/>
    <w:rsid w:val="00B03A43"/>
    <w:rsid w:val="00B04DA5"/>
    <w:rsid w:val="00B06508"/>
    <w:rsid w:val="00B162A7"/>
    <w:rsid w:val="00B1725C"/>
    <w:rsid w:val="00B204EF"/>
    <w:rsid w:val="00B21B62"/>
    <w:rsid w:val="00B22C9D"/>
    <w:rsid w:val="00B2337D"/>
    <w:rsid w:val="00B2496A"/>
    <w:rsid w:val="00B24E58"/>
    <w:rsid w:val="00B264E2"/>
    <w:rsid w:val="00B26A8F"/>
    <w:rsid w:val="00B30EA5"/>
    <w:rsid w:val="00B31186"/>
    <w:rsid w:val="00B33DE2"/>
    <w:rsid w:val="00B33FA2"/>
    <w:rsid w:val="00B3499F"/>
    <w:rsid w:val="00B34D5E"/>
    <w:rsid w:val="00B41675"/>
    <w:rsid w:val="00B41E16"/>
    <w:rsid w:val="00B423CF"/>
    <w:rsid w:val="00B4287C"/>
    <w:rsid w:val="00B455C9"/>
    <w:rsid w:val="00B45FF0"/>
    <w:rsid w:val="00B47D6B"/>
    <w:rsid w:val="00B50431"/>
    <w:rsid w:val="00B50A55"/>
    <w:rsid w:val="00B511E5"/>
    <w:rsid w:val="00B53F73"/>
    <w:rsid w:val="00B54BD3"/>
    <w:rsid w:val="00B54C88"/>
    <w:rsid w:val="00B5561F"/>
    <w:rsid w:val="00B5728D"/>
    <w:rsid w:val="00B633C8"/>
    <w:rsid w:val="00B64903"/>
    <w:rsid w:val="00B70EBF"/>
    <w:rsid w:val="00B71FBD"/>
    <w:rsid w:val="00B74582"/>
    <w:rsid w:val="00B76826"/>
    <w:rsid w:val="00B80C39"/>
    <w:rsid w:val="00B83F0C"/>
    <w:rsid w:val="00B85799"/>
    <w:rsid w:val="00B87D18"/>
    <w:rsid w:val="00B87FA2"/>
    <w:rsid w:val="00B92216"/>
    <w:rsid w:val="00B92BE3"/>
    <w:rsid w:val="00B939BA"/>
    <w:rsid w:val="00B946AF"/>
    <w:rsid w:val="00B95D2F"/>
    <w:rsid w:val="00BA093F"/>
    <w:rsid w:val="00BA0F7D"/>
    <w:rsid w:val="00BA7931"/>
    <w:rsid w:val="00BB036C"/>
    <w:rsid w:val="00BB5641"/>
    <w:rsid w:val="00BC1458"/>
    <w:rsid w:val="00BC1EC5"/>
    <w:rsid w:val="00BC4369"/>
    <w:rsid w:val="00BC4893"/>
    <w:rsid w:val="00BD10A0"/>
    <w:rsid w:val="00BD28B0"/>
    <w:rsid w:val="00BD6186"/>
    <w:rsid w:val="00BD75BF"/>
    <w:rsid w:val="00BD79B7"/>
    <w:rsid w:val="00BE25C1"/>
    <w:rsid w:val="00BE3525"/>
    <w:rsid w:val="00BE3680"/>
    <w:rsid w:val="00BE5D89"/>
    <w:rsid w:val="00BF3150"/>
    <w:rsid w:val="00BF3617"/>
    <w:rsid w:val="00BF3773"/>
    <w:rsid w:val="00BF3B6D"/>
    <w:rsid w:val="00BF5028"/>
    <w:rsid w:val="00BF6CDE"/>
    <w:rsid w:val="00BF6EDB"/>
    <w:rsid w:val="00C014D7"/>
    <w:rsid w:val="00C01D84"/>
    <w:rsid w:val="00C04A33"/>
    <w:rsid w:val="00C04B45"/>
    <w:rsid w:val="00C05D10"/>
    <w:rsid w:val="00C127FE"/>
    <w:rsid w:val="00C13DDC"/>
    <w:rsid w:val="00C15A1E"/>
    <w:rsid w:val="00C15D24"/>
    <w:rsid w:val="00C20E66"/>
    <w:rsid w:val="00C216EF"/>
    <w:rsid w:val="00C236CE"/>
    <w:rsid w:val="00C26AAE"/>
    <w:rsid w:val="00C26C7B"/>
    <w:rsid w:val="00C30965"/>
    <w:rsid w:val="00C31397"/>
    <w:rsid w:val="00C33F1D"/>
    <w:rsid w:val="00C340F0"/>
    <w:rsid w:val="00C36567"/>
    <w:rsid w:val="00C401E5"/>
    <w:rsid w:val="00C40B70"/>
    <w:rsid w:val="00C433D7"/>
    <w:rsid w:val="00C44F01"/>
    <w:rsid w:val="00C45EA2"/>
    <w:rsid w:val="00C46AAD"/>
    <w:rsid w:val="00C4706B"/>
    <w:rsid w:val="00C5294C"/>
    <w:rsid w:val="00C53D73"/>
    <w:rsid w:val="00C63266"/>
    <w:rsid w:val="00C6429D"/>
    <w:rsid w:val="00C64F81"/>
    <w:rsid w:val="00C65FF4"/>
    <w:rsid w:val="00C676CD"/>
    <w:rsid w:val="00C71839"/>
    <w:rsid w:val="00C718D0"/>
    <w:rsid w:val="00C720A8"/>
    <w:rsid w:val="00C75902"/>
    <w:rsid w:val="00C76898"/>
    <w:rsid w:val="00C80024"/>
    <w:rsid w:val="00C81612"/>
    <w:rsid w:val="00C829E5"/>
    <w:rsid w:val="00C86532"/>
    <w:rsid w:val="00C86914"/>
    <w:rsid w:val="00C86AF5"/>
    <w:rsid w:val="00C87DC5"/>
    <w:rsid w:val="00C90BA1"/>
    <w:rsid w:val="00C91BA8"/>
    <w:rsid w:val="00C953FA"/>
    <w:rsid w:val="00C96242"/>
    <w:rsid w:val="00C97636"/>
    <w:rsid w:val="00CA0969"/>
    <w:rsid w:val="00CA19C5"/>
    <w:rsid w:val="00CA44A7"/>
    <w:rsid w:val="00CA4812"/>
    <w:rsid w:val="00CA5217"/>
    <w:rsid w:val="00CA6885"/>
    <w:rsid w:val="00CB18CD"/>
    <w:rsid w:val="00CB2F02"/>
    <w:rsid w:val="00CB2F6B"/>
    <w:rsid w:val="00CB48C0"/>
    <w:rsid w:val="00CB50C9"/>
    <w:rsid w:val="00CC05B0"/>
    <w:rsid w:val="00CC324D"/>
    <w:rsid w:val="00CC64FB"/>
    <w:rsid w:val="00CD0978"/>
    <w:rsid w:val="00CD2728"/>
    <w:rsid w:val="00CD4537"/>
    <w:rsid w:val="00CD5704"/>
    <w:rsid w:val="00CD7A68"/>
    <w:rsid w:val="00CE07F6"/>
    <w:rsid w:val="00CE11F1"/>
    <w:rsid w:val="00CE1EF8"/>
    <w:rsid w:val="00CE262C"/>
    <w:rsid w:val="00CE5DB5"/>
    <w:rsid w:val="00CE7484"/>
    <w:rsid w:val="00CF040E"/>
    <w:rsid w:val="00CF15A9"/>
    <w:rsid w:val="00CF1940"/>
    <w:rsid w:val="00CF2C71"/>
    <w:rsid w:val="00CF3601"/>
    <w:rsid w:val="00CF562C"/>
    <w:rsid w:val="00CF5A11"/>
    <w:rsid w:val="00CF772C"/>
    <w:rsid w:val="00D009D6"/>
    <w:rsid w:val="00D02AC9"/>
    <w:rsid w:val="00D050E0"/>
    <w:rsid w:val="00D055A3"/>
    <w:rsid w:val="00D079D3"/>
    <w:rsid w:val="00D162A9"/>
    <w:rsid w:val="00D166F3"/>
    <w:rsid w:val="00D21029"/>
    <w:rsid w:val="00D21738"/>
    <w:rsid w:val="00D21A55"/>
    <w:rsid w:val="00D21D31"/>
    <w:rsid w:val="00D36FF7"/>
    <w:rsid w:val="00D37C2E"/>
    <w:rsid w:val="00D434A6"/>
    <w:rsid w:val="00D4477E"/>
    <w:rsid w:val="00D4500B"/>
    <w:rsid w:val="00D45C28"/>
    <w:rsid w:val="00D45CD3"/>
    <w:rsid w:val="00D51547"/>
    <w:rsid w:val="00D5162B"/>
    <w:rsid w:val="00D552CC"/>
    <w:rsid w:val="00D5702E"/>
    <w:rsid w:val="00D61856"/>
    <w:rsid w:val="00D74054"/>
    <w:rsid w:val="00D82C1E"/>
    <w:rsid w:val="00D83157"/>
    <w:rsid w:val="00D83D4C"/>
    <w:rsid w:val="00D83ED2"/>
    <w:rsid w:val="00D85B4E"/>
    <w:rsid w:val="00D86F6E"/>
    <w:rsid w:val="00D87787"/>
    <w:rsid w:val="00D91684"/>
    <w:rsid w:val="00D91A0F"/>
    <w:rsid w:val="00D924AE"/>
    <w:rsid w:val="00D938D4"/>
    <w:rsid w:val="00D95EC4"/>
    <w:rsid w:val="00D9716C"/>
    <w:rsid w:val="00DA2652"/>
    <w:rsid w:val="00DA33D9"/>
    <w:rsid w:val="00DA54F5"/>
    <w:rsid w:val="00DB58BC"/>
    <w:rsid w:val="00DC0B6E"/>
    <w:rsid w:val="00DC1BA8"/>
    <w:rsid w:val="00DC221B"/>
    <w:rsid w:val="00DC3753"/>
    <w:rsid w:val="00DC4301"/>
    <w:rsid w:val="00DC5650"/>
    <w:rsid w:val="00DC647B"/>
    <w:rsid w:val="00DD0753"/>
    <w:rsid w:val="00DD15DC"/>
    <w:rsid w:val="00DD23F3"/>
    <w:rsid w:val="00DD4F20"/>
    <w:rsid w:val="00DD5F7C"/>
    <w:rsid w:val="00DE1213"/>
    <w:rsid w:val="00DE19DF"/>
    <w:rsid w:val="00DE280D"/>
    <w:rsid w:val="00DE3175"/>
    <w:rsid w:val="00DE4C4C"/>
    <w:rsid w:val="00DE5C7C"/>
    <w:rsid w:val="00DE7149"/>
    <w:rsid w:val="00DF1E0C"/>
    <w:rsid w:val="00DF3631"/>
    <w:rsid w:val="00DF4B95"/>
    <w:rsid w:val="00DF55E6"/>
    <w:rsid w:val="00DF66B8"/>
    <w:rsid w:val="00DF71FF"/>
    <w:rsid w:val="00DF7F67"/>
    <w:rsid w:val="00E00A47"/>
    <w:rsid w:val="00E01E55"/>
    <w:rsid w:val="00E03ED2"/>
    <w:rsid w:val="00E04778"/>
    <w:rsid w:val="00E05CB5"/>
    <w:rsid w:val="00E1156C"/>
    <w:rsid w:val="00E14189"/>
    <w:rsid w:val="00E171D6"/>
    <w:rsid w:val="00E215D5"/>
    <w:rsid w:val="00E21FFB"/>
    <w:rsid w:val="00E239C3"/>
    <w:rsid w:val="00E23A32"/>
    <w:rsid w:val="00E2571D"/>
    <w:rsid w:val="00E25FD9"/>
    <w:rsid w:val="00E2662A"/>
    <w:rsid w:val="00E31F09"/>
    <w:rsid w:val="00E40590"/>
    <w:rsid w:val="00E467B8"/>
    <w:rsid w:val="00E472F1"/>
    <w:rsid w:val="00E5346E"/>
    <w:rsid w:val="00E57849"/>
    <w:rsid w:val="00E6073E"/>
    <w:rsid w:val="00E638AB"/>
    <w:rsid w:val="00E7058D"/>
    <w:rsid w:val="00E70E42"/>
    <w:rsid w:val="00E73639"/>
    <w:rsid w:val="00E7649C"/>
    <w:rsid w:val="00E77C65"/>
    <w:rsid w:val="00E81A99"/>
    <w:rsid w:val="00E82EF3"/>
    <w:rsid w:val="00E843CB"/>
    <w:rsid w:val="00E8521E"/>
    <w:rsid w:val="00E86C7B"/>
    <w:rsid w:val="00E9320F"/>
    <w:rsid w:val="00EB2CB7"/>
    <w:rsid w:val="00EB5F1B"/>
    <w:rsid w:val="00EB731A"/>
    <w:rsid w:val="00EB77B3"/>
    <w:rsid w:val="00EC1C24"/>
    <w:rsid w:val="00EC50DA"/>
    <w:rsid w:val="00EC7581"/>
    <w:rsid w:val="00ED3B90"/>
    <w:rsid w:val="00ED4B3F"/>
    <w:rsid w:val="00ED61D8"/>
    <w:rsid w:val="00EF00D6"/>
    <w:rsid w:val="00EF31C3"/>
    <w:rsid w:val="00EF35D4"/>
    <w:rsid w:val="00EF3B1E"/>
    <w:rsid w:val="00EF42F1"/>
    <w:rsid w:val="00EF4BEB"/>
    <w:rsid w:val="00EF6A92"/>
    <w:rsid w:val="00EF7C12"/>
    <w:rsid w:val="00F06611"/>
    <w:rsid w:val="00F07C4F"/>
    <w:rsid w:val="00F07C6B"/>
    <w:rsid w:val="00F11230"/>
    <w:rsid w:val="00F117A1"/>
    <w:rsid w:val="00F117DD"/>
    <w:rsid w:val="00F15039"/>
    <w:rsid w:val="00F15BCD"/>
    <w:rsid w:val="00F163DF"/>
    <w:rsid w:val="00F1785D"/>
    <w:rsid w:val="00F237C6"/>
    <w:rsid w:val="00F23EA9"/>
    <w:rsid w:val="00F273F5"/>
    <w:rsid w:val="00F32206"/>
    <w:rsid w:val="00F32DB1"/>
    <w:rsid w:val="00F335A1"/>
    <w:rsid w:val="00F35A8F"/>
    <w:rsid w:val="00F36211"/>
    <w:rsid w:val="00F40718"/>
    <w:rsid w:val="00F42072"/>
    <w:rsid w:val="00F4514C"/>
    <w:rsid w:val="00F46757"/>
    <w:rsid w:val="00F46B82"/>
    <w:rsid w:val="00F50E5E"/>
    <w:rsid w:val="00F5224F"/>
    <w:rsid w:val="00F54292"/>
    <w:rsid w:val="00F627E0"/>
    <w:rsid w:val="00F6417D"/>
    <w:rsid w:val="00F6450F"/>
    <w:rsid w:val="00F658FC"/>
    <w:rsid w:val="00F71A63"/>
    <w:rsid w:val="00F72117"/>
    <w:rsid w:val="00F828B2"/>
    <w:rsid w:val="00F82F27"/>
    <w:rsid w:val="00F83A4E"/>
    <w:rsid w:val="00F83CB0"/>
    <w:rsid w:val="00F83D46"/>
    <w:rsid w:val="00F84A5F"/>
    <w:rsid w:val="00F854A6"/>
    <w:rsid w:val="00F85A97"/>
    <w:rsid w:val="00F86240"/>
    <w:rsid w:val="00F86668"/>
    <w:rsid w:val="00F90FB0"/>
    <w:rsid w:val="00F911A2"/>
    <w:rsid w:val="00F91A52"/>
    <w:rsid w:val="00F94EE0"/>
    <w:rsid w:val="00F96102"/>
    <w:rsid w:val="00F97B08"/>
    <w:rsid w:val="00F97FB2"/>
    <w:rsid w:val="00FA11BA"/>
    <w:rsid w:val="00FA3668"/>
    <w:rsid w:val="00FA5305"/>
    <w:rsid w:val="00FA7A2A"/>
    <w:rsid w:val="00FB102E"/>
    <w:rsid w:val="00FB1671"/>
    <w:rsid w:val="00FB3E81"/>
    <w:rsid w:val="00FB415F"/>
    <w:rsid w:val="00FB4D3D"/>
    <w:rsid w:val="00FC0488"/>
    <w:rsid w:val="00FC1554"/>
    <w:rsid w:val="00FC2191"/>
    <w:rsid w:val="00FC2994"/>
    <w:rsid w:val="00FC4B6C"/>
    <w:rsid w:val="00FC6298"/>
    <w:rsid w:val="00FD0E22"/>
    <w:rsid w:val="00FD4994"/>
    <w:rsid w:val="00FD5A3D"/>
    <w:rsid w:val="00FD5FA1"/>
    <w:rsid w:val="00FD6A2C"/>
    <w:rsid w:val="00FE0C99"/>
    <w:rsid w:val="00FE2394"/>
    <w:rsid w:val="00FE280F"/>
    <w:rsid w:val="00FE4ACC"/>
    <w:rsid w:val="00FE5E59"/>
    <w:rsid w:val="00FF002F"/>
    <w:rsid w:val="00FF3C79"/>
    <w:rsid w:val="00FF5218"/>
    <w:rsid w:val="00FF70B2"/>
    <w:rsid w:val="00FF73E8"/>
    <w:rsid w:val="00FF7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3275"/>
    <w:rPr>
      <w:sz w:val="24"/>
      <w:szCs w:val="24"/>
      <w:lang w:val="sq-AL"/>
    </w:rPr>
  </w:style>
  <w:style w:type="paragraph" w:styleId="Heading1">
    <w:name w:val="heading 1"/>
    <w:basedOn w:val="Normal"/>
    <w:next w:val="Normal"/>
    <w:link w:val="Heading1Char"/>
    <w:uiPriority w:val="99"/>
    <w:qFormat/>
    <w:rsid w:val="00823275"/>
    <w:pPr>
      <w:keepNext/>
      <w:numPr>
        <w:numId w:val="1"/>
      </w:numPr>
      <w:pBdr>
        <w:bottom w:val="single" w:sz="2" w:space="1" w:color="auto"/>
      </w:pBdr>
      <w:spacing w:before="160" w:after="80"/>
      <w:outlineLvl w:val="0"/>
    </w:pPr>
    <w:rPr>
      <w:rFonts w:ascii="Schneidler BT" w:hAnsi="Schneidler BT" w:cs="Schneidler BT"/>
      <w:b/>
      <w:bCs/>
      <w:sz w:val="20"/>
      <w:szCs w:val="20"/>
      <w:lang w:val="fr-FR"/>
    </w:rPr>
  </w:style>
  <w:style w:type="paragraph" w:styleId="Heading2">
    <w:name w:val="heading 2"/>
    <w:aliases w:val="Main Heading"/>
    <w:basedOn w:val="Normal"/>
    <w:next w:val="Normal"/>
    <w:link w:val="Heading2Char"/>
    <w:uiPriority w:val="99"/>
    <w:qFormat/>
    <w:rsid w:val="00823275"/>
    <w:pPr>
      <w:keepNext/>
      <w:numPr>
        <w:ilvl w:val="1"/>
        <w:numId w:val="1"/>
      </w:numPr>
      <w:spacing w:before="120" w:after="120"/>
      <w:outlineLvl w:val="1"/>
    </w:pPr>
    <w:rPr>
      <w:rFonts w:ascii="Schneidler BT" w:hAnsi="Schneidler BT" w:cs="Schneidler BT"/>
      <w:b/>
      <w:bCs/>
      <w:sz w:val="22"/>
      <w:szCs w:val="22"/>
    </w:rPr>
  </w:style>
  <w:style w:type="paragraph" w:styleId="Heading3">
    <w:name w:val="heading 3"/>
    <w:basedOn w:val="Normal"/>
    <w:next w:val="Normal"/>
    <w:link w:val="Heading3Char"/>
    <w:uiPriority w:val="99"/>
    <w:qFormat/>
    <w:rsid w:val="0082327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327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2327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327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23275"/>
    <w:pPr>
      <w:numPr>
        <w:ilvl w:val="6"/>
        <w:numId w:val="1"/>
      </w:numPr>
      <w:spacing w:before="240" w:after="60"/>
      <w:outlineLvl w:val="6"/>
    </w:pPr>
  </w:style>
  <w:style w:type="paragraph" w:styleId="Heading8">
    <w:name w:val="heading 8"/>
    <w:basedOn w:val="Normal"/>
    <w:next w:val="Normal"/>
    <w:link w:val="Heading8Char"/>
    <w:uiPriority w:val="99"/>
    <w:qFormat/>
    <w:rsid w:val="00823275"/>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2327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E42"/>
    <w:rPr>
      <w:rFonts w:ascii="Schneidler BT" w:hAnsi="Schneidler BT" w:cs="Schneidler BT"/>
      <w:b/>
      <w:bCs/>
      <w:lang w:val="fr-FR" w:eastAsia="en-US"/>
    </w:rPr>
  </w:style>
  <w:style w:type="character" w:customStyle="1" w:styleId="Heading2Char">
    <w:name w:val="Heading 2 Char"/>
    <w:aliases w:val="Main Heading Char"/>
    <w:basedOn w:val="DefaultParagraphFont"/>
    <w:link w:val="Heading2"/>
    <w:uiPriority w:val="99"/>
    <w:semiHidden/>
    <w:locked/>
    <w:rsid w:val="00E70E42"/>
    <w:rPr>
      <w:rFonts w:ascii="Schneidler BT" w:hAnsi="Schneidler BT" w:cs="Schneidler BT"/>
      <w:b/>
      <w:bCs/>
      <w:sz w:val="22"/>
      <w:szCs w:val="22"/>
      <w:lang w:val="sq-AL" w:eastAsia="en-US"/>
    </w:rPr>
  </w:style>
  <w:style w:type="character" w:customStyle="1" w:styleId="Heading3Char">
    <w:name w:val="Heading 3 Char"/>
    <w:basedOn w:val="DefaultParagraphFont"/>
    <w:link w:val="Heading3"/>
    <w:uiPriority w:val="99"/>
    <w:semiHidden/>
    <w:locked/>
    <w:rsid w:val="00E70E42"/>
    <w:rPr>
      <w:rFonts w:ascii="Arial" w:hAnsi="Arial" w:cs="Arial"/>
      <w:b/>
      <w:bCs/>
      <w:sz w:val="26"/>
      <w:szCs w:val="26"/>
      <w:lang w:val="sq-AL" w:eastAsia="en-US"/>
    </w:rPr>
  </w:style>
  <w:style w:type="character" w:customStyle="1" w:styleId="Heading4Char">
    <w:name w:val="Heading 4 Char"/>
    <w:basedOn w:val="DefaultParagraphFont"/>
    <w:link w:val="Heading4"/>
    <w:uiPriority w:val="99"/>
    <w:locked/>
    <w:rsid w:val="00A3448F"/>
    <w:rPr>
      <w:b/>
      <w:bCs/>
      <w:sz w:val="28"/>
      <w:szCs w:val="28"/>
      <w:lang w:val="sq-AL" w:eastAsia="en-US"/>
    </w:rPr>
  </w:style>
  <w:style w:type="character" w:customStyle="1" w:styleId="Heading5Char">
    <w:name w:val="Heading 5 Char"/>
    <w:basedOn w:val="DefaultParagraphFont"/>
    <w:link w:val="Heading5"/>
    <w:uiPriority w:val="99"/>
    <w:semiHidden/>
    <w:locked/>
    <w:rsid w:val="00E70E42"/>
    <w:rPr>
      <w:b/>
      <w:bCs/>
      <w:i/>
      <w:iCs/>
      <w:sz w:val="26"/>
      <w:szCs w:val="26"/>
      <w:lang w:val="sq-AL" w:eastAsia="en-US"/>
    </w:rPr>
  </w:style>
  <w:style w:type="character" w:customStyle="1" w:styleId="Heading6Char">
    <w:name w:val="Heading 6 Char"/>
    <w:basedOn w:val="DefaultParagraphFont"/>
    <w:link w:val="Heading6"/>
    <w:uiPriority w:val="99"/>
    <w:semiHidden/>
    <w:locked/>
    <w:rsid w:val="00E70E42"/>
    <w:rPr>
      <w:b/>
      <w:bCs/>
      <w:sz w:val="22"/>
      <w:szCs w:val="22"/>
      <w:lang w:val="sq-AL" w:eastAsia="en-US"/>
    </w:rPr>
  </w:style>
  <w:style w:type="character" w:customStyle="1" w:styleId="Heading7Char">
    <w:name w:val="Heading 7 Char"/>
    <w:basedOn w:val="DefaultParagraphFont"/>
    <w:link w:val="Heading7"/>
    <w:uiPriority w:val="99"/>
    <w:semiHidden/>
    <w:locked/>
    <w:rsid w:val="00E70E42"/>
    <w:rPr>
      <w:sz w:val="24"/>
      <w:szCs w:val="24"/>
      <w:lang w:val="sq-AL" w:eastAsia="en-US"/>
    </w:rPr>
  </w:style>
  <w:style w:type="character" w:customStyle="1" w:styleId="Heading8Char">
    <w:name w:val="Heading 8 Char"/>
    <w:basedOn w:val="DefaultParagraphFont"/>
    <w:link w:val="Heading8"/>
    <w:uiPriority w:val="99"/>
    <w:semiHidden/>
    <w:locked/>
    <w:rsid w:val="00E70E42"/>
    <w:rPr>
      <w:i/>
      <w:iCs/>
      <w:sz w:val="24"/>
      <w:szCs w:val="24"/>
      <w:lang w:val="sq-AL" w:eastAsia="en-US"/>
    </w:rPr>
  </w:style>
  <w:style w:type="character" w:customStyle="1" w:styleId="Heading9Char">
    <w:name w:val="Heading 9 Char"/>
    <w:basedOn w:val="DefaultParagraphFont"/>
    <w:link w:val="Heading9"/>
    <w:uiPriority w:val="99"/>
    <w:semiHidden/>
    <w:locked/>
    <w:rsid w:val="00E70E42"/>
    <w:rPr>
      <w:rFonts w:ascii="Arial" w:hAnsi="Arial" w:cs="Arial"/>
      <w:sz w:val="22"/>
      <w:szCs w:val="22"/>
      <w:lang w:val="sq-AL" w:eastAsia="en-US"/>
    </w:rPr>
  </w:style>
  <w:style w:type="paragraph" w:styleId="BalloonText">
    <w:name w:val="Balloon Text"/>
    <w:aliases w:val="Char"/>
    <w:basedOn w:val="Normal"/>
    <w:link w:val="BalloonTextChar"/>
    <w:uiPriority w:val="99"/>
    <w:semiHidden/>
    <w:rsid w:val="00823275"/>
    <w:rPr>
      <w:rFonts w:ascii="Tahoma" w:hAnsi="Tahoma" w:cs="Tahoma"/>
      <w:sz w:val="16"/>
      <w:szCs w:val="16"/>
    </w:rPr>
  </w:style>
  <w:style w:type="character" w:customStyle="1" w:styleId="BalloonTextChar">
    <w:name w:val="Balloon Text Char"/>
    <w:aliases w:val="Char Char"/>
    <w:basedOn w:val="DefaultParagraphFont"/>
    <w:link w:val="BalloonText"/>
    <w:uiPriority w:val="99"/>
    <w:semiHidden/>
    <w:locked/>
    <w:rsid w:val="00823275"/>
    <w:rPr>
      <w:rFonts w:ascii="Tahoma" w:hAnsi="Tahoma" w:cs="Tahoma"/>
      <w:sz w:val="16"/>
      <w:szCs w:val="16"/>
      <w:lang w:val="en-US" w:eastAsia="en-US"/>
    </w:rPr>
  </w:style>
  <w:style w:type="paragraph" w:styleId="Header">
    <w:name w:val="header"/>
    <w:basedOn w:val="Normal"/>
    <w:link w:val="HeaderChar"/>
    <w:uiPriority w:val="99"/>
    <w:rsid w:val="00823275"/>
    <w:pPr>
      <w:tabs>
        <w:tab w:val="center" w:pos="4819"/>
        <w:tab w:val="right" w:pos="9638"/>
      </w:tabs>
    </w:pPr>
  </w:style>
  <w:style w:type="character" w:customStyle="1" w:styleId="HeaderChar">
    <w:name w:val="Header Char"/>
    <w:basedOn w:val="DefaultParagraphFont"/>
    <w:link w:val="Header"/>
    <w:uiPriority w:val="99"/>
    <w:locked/>
    <w:rsid w:val="00823275"/>
    <w:rPr>
      <w:sz w:val="24"/>
      <w:szCs w:val="24"/>
      <w:lang w:val="en-US" w:eastAsia="en-US"/>
    </w:rPr>
  </w:style>
  <w:style w:type="paragraph" w:styleId="Footer">
    <w:name w:val="footer"/>
    <w:basedOn w:val="Normal"/>
    <w:link w:val="FooterChar"/>
    <w:uiPriority w:val="99"/>
    <w:rsid w:val="00823275"/>
    <w:pPr>
      <w:tabs>
        <w:tab w:val="center" w:pos="4819"/>
        <w:tab w:val="right" w:pos="9638"/>
      </w:tabs>
    </w:pPr>
  </w:style>
  <w:style w:type="character" w:customStyle="1" w:styleId="FooterChar">
    <w:name w:val="Footer Char"/>
    <w:basedOn w:val="DefaultParagraphFont"/>
    <w:link w:val="Footer"/>
    <w:uiPriority w:val="99"/>
    <w:semiHidden/>
    <w:locked/>
    <w:rsid w:val="00E70E42"/>
    <w:rPr>
      <w:sz w:val="24"/>
      <w:szCs w:val="24"/>
    </w:rPr>
  </w:style>
  <w:style w:type="character" w:styleId="Hyperlink">
    <w:name w:val="Hyperlink"/>
    <w:basedOn w:val="DefaultParagraphFont"/>
    <w:uiPriority w:val="99"/>
    <w:rsid w:val="00823275"/>
    <w:rPr>
      <w:color w:val="0000FF"/>
      <w:u w:val="single"/>
    </w:rPr>
  </w:style>
  <w:style w:type="character" w:styleId="PageNumber">
    <w:name w:val="page number"/>
    <w:basedOn w:val="DefaultParagraphFont"/>
    <w:uiPriority w:val="99"/>
    <w:rsid w:val="00823275"/>
  </w:style>
  <w:style w:type="paragraph" w:styleId="BodyText2">
    <w:name w:val="Body Text 2"/>
    <w:basedOn w:val="Normal"/>
    <w:link w:val="BodyText2Char"/>
    <w:uiPriority w:val="99"/>
    <w:rsid w:val="0082327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outlineLvl w:val="0"/>
    </w:pPr>
    <w:rPr>
      <w:rFonts w:ascii="Schneidler BT" w:hAnsi="Schneidler BT" w:cs="Schneidler BT"/>
      <w:sz w:val="20"/>
      <w:szCs w:val="20"/>
    </w:rPr>
  </w:style>
  <w:style w:type="character" w:customStyle="1" w:styleId="BodyText2Char">
    <w:name w:val="Body Text 2 Char"/>
    <w:basedOn w:val="DefaultParagraphFont"/>
    <w:link w:val="BodyText2"/>
    <w:uiPriority w:val="99"/>
    <w:semiHidden/>
    <w:locked/>
    <w:rsid w:val="00E70E42"/>
    <w:rPr>
      <w:sz w:val="24"/>
      <w:szCs w:val="24"/>
    </w:rPr>
  </w:style>
  <w:style w:type="paragraph" w:styleId="Title">
    <w:name w:val="Title"/>
    <w:basedOn w:val="Normal"/>
    <w:link w:val="TitleChar"/>
    <w:uiPriority w:val="99"/>
    <w:qFormat/>
    <w:rsid w:val="00823275"/>
    <w:pPr>
      <w:jc w:val="center"/>
    </w:pPr>
    <w:rPr>
      <w:rFonts w:ascii="Arial" w:hAnsi="Arial" w:cs="Arial"/>
      <w:b/>
      <w:bCs/>
      <w:u w:val="single"/>
      <w:lang w:val="en-GB" w:eastAsia="en-GB"/>
    </w:rPr>
  </w:style>
  <w:style w:type="character" w:customStyle="1" w:styleId="TitleChar">
    <w:name w:val="Title Char"/>
    <w:basedOn w:val="DefaultParagraphFont"/>
    <w:link w:val="Title"/>
    <w:uiPriority w:val="99"/>
    <w:locked/>
    <w:rsid w:val="00E70E42"/>
    <w:rPr>
      <w:rFonts w:ascii="Cambria" w:hAnsi="Cambria" w:cs="Cambria"/>
      <w:b/>
      <w:bCs/>
      <w:kern w:val="28"/>
      <w:sz w:val="32"/>
      <w:szCs w:val="32"/>
    </w:rPr>
  </w:style>
  <w:style w:type="paragraph" w:styleId="BodyText">
    <w:name w:val="Body Text"/>
    <w:basedOn w:val="Normal"/>
    <w:link w:val="BodyTextChar"/>
    <w:uiPriority w:val="99"/>
    <w:rsid w:val="00823275"/>
    <w:pPr>
      <w:spacing w:after="120"/>
    </w:pPr>
  </w:style>
  <w:style w:type="character" w:customStyle="1" w:styleId="BodyTextChar">
    <w:name w:val="Body Text Char"/>
    <w:basedOn w:val="DefaultParagraphFont"/>
    <w:link w:val="BodyText"/>
    <w:uiPriority w:val="99"/>
    <w:semiHidden/>
    <w:locked/>
    <w:rsid w:val="00E70E42"/>
    <w:rPr>
      <w:sz w:val="24"/>
      <w:szCs w:val="24"/>
    </w:rPr>
  </w:style>
  <w:style w:type="paragraph" w:styleId="NormalWeb">
    <w:name w:val="Normal (Web)"/>
    <w:basedOn w:val="Normal"/>
    <w:uiPriority w:val="99"/>
    <w:rsid w:val="00823275"/>
    <w:pPr>
      <w:spacing w:before="100" w:beforeAutospacing="1" w:after="100" w:afterAutospacing="1"/>
    </w:pPr>
  </w:style>
  <w:style w:type="paragraph" w:customStyle="1" w:styleId="spip">
    <w:name w:val="spip"/>
    <w:basedOn w:val="Normal"/>
    <w:uiPriority w:val="99"/>
    <w:rsid w:val="00823275"/>
    <w:pPr>
      <w:spacing w:before="100" w:beforeAutospacing="1" w:after="100" w:afterAutospacing="1"/>
    </w:pPr>
  </w:style>
  <w:style w:type="character" w:styleId="Emphasis">
    <w:name w:val="Emphasis"/>
    <w:basedOn w:val="DefaultParagraphFont"/>
    <w:uiPriority w:val="99"/>
    <w:qFormat/>
    <w:rsid w:val="00823275"/>
    <w:rPr>
      <w:b/>
      <w:bCs/>
    </w:rPr>
  </w:style>
  <w:style w:type="character" w:customStyle="1" w:styleId="headline1">
    <w:name w:val="headline1"/>
    <w:basedOn w:val="DefaultParagraphFont"/>
    <w:uiPriority w:val="99"/>
    <w:rsid w:val="00823275"/>
    <w:rPr>
      <w:rFonts w:ascii="Verdana" w:hAnsi="Verdana" w:cs="Verdana"/>
      <w:b/>
      <w:bCs/>
      <w:color w:val="auto"/>
      <w:sz w:val="20"/>
      <w:szCs w:val="20"/>
    </w:rPr>
  </w:style>
  <w:style w:type="paragraph" w:styleId="ListParagraph">
    <w:name w:val="List Paragraph"/>
    <w:basedOn w:val="Normal"/>
    <w:uiPriority w:val="99"/>
    <w:qFormat/>
    <w:rsid w:val="00823275"/>
    <w:pPr>
      <w:spacing w:after="200" w:line="276" w:lineRule="auto"/>
      <w:ind w:left="720"/>
    </w:pPr>
    <w:rPr>
      <w:rFonts w:ascii="Calibri" w:eastAsia="Batang" w:hAnsi="Calibri" w:cs="Calibri"/>
      <w:sz w:val="22"/>
      <w:szCs w:val="22"/>
    </w:rPr>
  </w:style>
  <w:style w:type="paragraph" w:styleId="CommentText">
    <w:name w:val="annotation text"/>
    <w:basedOn w:val="Normal"/>
    <w:link w:val="CommentTextChar"/>
    <w:uiPriority w:val="99"/>
    <w:semiHidden/>
    <w:rsid w:val="00823275"/>
  </w:style>
  <w:style w:type="character" w:customStyle="1" w:styleId="CommentTextChar">
    <w:name w:val="Comment Text Char"/>
    <w:basedOn w:val="DefaultParagraphFont"/>
    <w:link w:val="CommentText"/>
    <w:uiPriority w:val="99"/>
    <w:semiHidden/>
    <w:locked/>
    <w:rsid w:val="00823275"/>
    <w:rPr>
      <w:sz w:val="24"/>
      <w:szCs w:val="24"/>
      <w:lang w:val="en-US" w:eastAsia="en-US"/>
    </w:rPr>
  </w:style>
  <w:style w:type="paragraph" w:customStyle="1" w:styleId="Default">
    <w:name w:val="Default"/>
    <w:uiPriority w:val="99"/>
    <w:rsid w:val="00823275"/>
    <w:pPr>
      <w:autoSpaceDE w:val="0"/>
      <w:autoSpaceDN w:val="0"/>
      <w:adjustRightInd w:val="0"/>
    </w:pPr>
    <w:rPr>
      <w:color w:val="000000"/>
      <w:sz w:val="24"/>
      <w:szCs w:val="24"/>
    </w:rPr>
  </w:style>
  <w:style w:type="character" w:styleId="Strong">
    <w:name w:val="Strong"/>
    <w:basedOn w:val="DefaultParagraphFont"/>
    <w:uiPriority w:val="99"/>
    <w:qFormat/>
    <w:rsid w:val="00823275"/>
    <w:rPr>
      <w:b/>
      <w:bCs/>
    </w:rPr>
  </w:style>
  <w:style w:type="paragraph" w:customStyle="1" w:styleId="CharChar1CharCharChar1Char">
    <w:name w:val="Char Char1 Char Char Char1 Char"/>
    <w:basedOn w:val="Normal"/>
    <w:uiPriority w:val="99"/>
    <w:rsid w:val="00823275"/>
    <w:pPr>
      <w:spacing w:after="160" w:line="240" w:lineRule="exact"/>
    </w:pPr>
    <w:rPr>
      <w:rFonts w:ascii="Tahoma" w:hAnsi="Tahoma" w:cs="Tahoma"/>
      <w:sz w:val="20"/>
      <w:szCs w:val="20"/>
    </w:rPr>
  </w:style>
  <w:style w:type="paragraph" w:styleId="FootnoteText">
    <w:name w:val="footnote text"/>
    <w:basedOn w:val="Normal"/>
    <w:link w:val="FootnoteTextChar"/>
    <w:uiPriority w:val="99"/>
    <w:semiHidden/>
    <w:rsid w:val="00823275"/>
    <w:rPr>
      <w:sz w:val="20"/>
      <w:szCs w:val="20"/>
    </w:rPr>
  </w:style>
  <w:style w:type="character" w:customStyle="1" w:styleId="FootnoteTextChar">
    <w:name w:val="Footnote Text Char"/>
    <w:basedOn w:val="DefaultParagraphFont"/>
    <w:link w:val="FootnoteText"/>
    <w:uiPriority w:val="99"/>
    <w:semiHidden/>
    <w:locked/>
    <w:rsid w:val="00E70E42"/>
    <w:rPr>
      <w:sz w:val="20"/>
      <w:szCs w:val="20"/>
    </w:rPr>
  </w:style>
  <w:style w:type="character" w:styleId="FootnoteReference">
    <w:name w:val="footnote reference"/>
    <w:basedOn w:val="DefaultParagraphFont"/>
    <w:uiPriority w:val="99"/>
    <w:semiHidden/>
    <w:rsid w:val="00823275"/>
    <w:rPr>
      <w:vertAlign w:val="superscript"/>
    </w:rPr>
  </w:style>
  <w:style w:type="paragraph" w:customStyle="1" w:styleId="Char1CharCharCharCharChar">
    <w:name w:val="Char1 Char Char Char Char Char"/>
    <w:basedOn w:val="Normal"/>
    <w:uiPriority w:val="99"/>
    <w:rsid w:val="00823275"/>
    <w:pPr>
      <w:spacing w:after="160" w:line="240" w:lineRule="exact"/>
    </w:pPr>
    <w:rPr>
      <w:rFonts w:ascii="Tahoma" w:hAnsi="Tahoma" w:cs="Tahoma"/>
      <w:sz w:val="20"/>
      <w:szCs w:val="20"/>
    </w:rPr>
  </w:style>
  <w:style w:type="paragraph" w:customStyle="1" w:styleId="CharChar1CharCharChar">
    <w:name w:val="Char Char1 Char Char Char"/>
    <w:basedOn w:val="Normal"/>
    <w:uiPriority w:val="99"/>
    <w:rsid w:val="00823275"/>
    <w:pPr>
      <w:spacing w:after="160" w:line="240" w:lineRule="exact"/>
    </w:pPr>
    <w:rPr>
      <w:rFonts w:ascii="Tahoma" w:hAnsi="Tahoma" w:cs="Tahoma"/>
      <w:sz w:val="20"/>
      <w:szCs w:val="20"/>
    </w:rPr>
  </w:style>
  <w:style w:type="paragraph" w:customStyle="1" w:styleId="CharChar1Char">
    <w:name w:val="Char Char1 Char"/>
    <w:basedOn w:val="Normal"/>
    <w:uiPriority w:val="99"/>
    <w:rsid w:val="00823275"/>
    <w:pPr>
      <w:spacing w:after="160" w:line="240" w:lineRule="exact"/>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823275"/>
    <w:rPr>
      <w:b/>
      <w:bCs/>
    </w:rPr>
  </w:style>
  <w:style w:type="character" w:customStyle="1" w:styleId="CommentSubjectChar">
    <w:name w:val="Comment Subject Char"/>
    <w:basedOn w:val="CommentTextChar"/>
    <w:link w:val="CommentSubject"/>
    <w:uiPriority w:val="99"/>
    <w:semiHidden/>
    <w:locked/>
    <w:rsid w:val="00E70E42"/>
    <w:rPr>
      <w:b/>
      <w:bCs/>
      <w:sz w:val="20"/>
      <w:szCs w:val="20"/>
    </w:rPr>
  </w:style>
  <w:style w:type="character" w:styleId="CommentReference">
    <w:name w:val="annotation reference"/>
    <w:basedOn w:val="DefaultParagraphFont"/>
    <w:uiPriority w:val="99"/>
    <w:semiHidden/>
    <w:rsid w:val="00823275"/>
    <w:rPr>
      <w:sz w:val="18"/>
      <w:szCs w:val="18"/>
    </w:rPr>
  </w:style>
  <w:style w:type="paragraph" w:customStyle="1" w:styleId="normal0">
    <w:name w:val="normal"/>
    <w:basedOn w:val="Normal"/>
    <w:uiPriority w:val="99"/>
    <w:rsid w:val="00823275"/>
  </w:style>
  <w:style w:type="character" w:customStyle="1" w:styleId="normalchar1">
    <w:name w:val="normal__char1"/>
    <w:basedOn w:val="DefaultParagraphFont"/>
    <w:uiPriority w:val="99"/>
    <w:rsid w:val="00823275"/>
    <w:rPr>
      <w:rFonts w:ascii="Times New Roman" w:hAnsi="Times New Roman" w:cs="Times New Roman"/>
      <w:sz w:val="24"/>
      <w:szCs w:val="24"/>
      <w:u w:val="none"/>
      <w:effect w:val="none"/>
    </w:rPr>
  </w:style>
  <w:style w:type="paragraph" w:styleId="EndnoteText">
    <w:name w:val="endnote text"/>
    <w:basedOn w:val="Normal"/>
    <w:link w:val="EndnoteTextChar"/>
    <w:uiPriority w:val="99"/>
    <w:semiHidden/>
    <w:rsid w:val="00823275"/>
    <w:rPr>
      <w:sz w:val="20"/>
      <w:szCs w:val="20"/>
    </w:rPr>
  </w:style>
  <w:style w:type="character" w:customStyle="1" w:styleId="EndnoteTextChar">
    <w:name w:val="Endnote Text Char"/>
    <w:basedOn w:val="DefaultParagraphFont"/>
    <w:link w:val="EndnoteText"/>
    <w:uiPriority w:val="99"/>
    <w:semiHidden/>
    <w:locked/>
    <w:rsid w:val="00E70E42"/>
    <w:rPr>
      <w:sz w:val="20"/>
      <w:szCs w:val="20"/>
    </w:rPr>
  </w:style>
  <w:style w:type="character" w:styleId="EndnoteReference">
    <w:name w:val="endnote reference"/>
    <w:basedOn w:val="DefaultParagraphFont"/>
    <w:uiPriority w:val="99"/>
    <w:semiHidden/>
    <w:rsid w:val="00823275"/>
    <w:rPr>
      <w:vertAlign w:val="superscript"/>
    </w:rPr>
  </w:style>
  <w:style w:type="paragraph" w:styleId="DocumentMap">
    <w:name w:val="Document Map"/>
    <w:basedOn w:val="Normal"/>
    <w:link w:val="DocumentMapChar"/>
    <w:uiPriority w:val="99"/>
    <w:semiHidden/>
    <w:rsid w:val="008232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0E42"/>
    <w:rPr>
      <w:sz w:val="2"/>
      <w:szCs w:val="2"/>
    </w:rPr>
  </w:style>
  <w:style w:type="character" w:customStyle="1" w:styleId="Freq">
    <w:name w:val="Freq"/>
    <w:basedOn w:val="DefaultParagraphFont"/>
    <w:uiPriority w:val="99"/>
    <w:rsid w:val="00823275"/>
    <w:rPr>
      <w:sz w:val="24"/>
      <w:szCs w:val="24"/>
    </w:rPr>
  </w:style>
  <w:style w:type="character" w:customStyle="1" w:styleId="Alloc">
    <w:name w:val="Alloc"/>
    <w:basedOn w:val="DefaultParagraphFont"/>
    <w:uiPriority w:val="99"/>
    <w:rsid w:val="00823275"/>
    <w:rPr>
      <w:rFonts w:ascii="Arial" w:hAnsi="Arial" w:cs="Arial"/>
      <w:sz w:val="16"/>
      <w:szCs w:val="16"/>
    </w:rPr>
  </w:style>
  <w:style w:type="paragraph" w:styleId="NormalIndent">
    <w:name w:val="Normal Indent"/>
    <w:basedOn w:val="Normal"/>
    <w:link w:val="NormalIndentChar"/>
    <w:uiPriority w:val="99"/>
    <w:rsid w:val="00823275"/>
    <w:pPr>
      <w:spacing w:after="200" w:line="276" w:lineRule="auto"/>
      <w:ind w:left="720"/>
    </w:pPr>
    <w:rPr>
      <w:rFonts w:ascii="Calibri" w:hAnsi="Calibri" w:cs="Calibri"/>
      <w:sz w:val="22"/>
      <w:szCs w:val="22"/>
    </w:rPr>
  </w:style>
  <w:style w:type="character" w:customStyle="1" w:styleId="NormalIndentChar">
    <w:name w:val="Normal Indent Char"/>
    <w:basedOn w:val="DefaultParagraphFont"/>
    <w:link w:val="NormalIndent"/>
    <w:uiPriority w:val="99"/>
    <w:locked/>
    <w:rsid w:val="00823275"/>
    <w:rPr>
      <w:rFonts w:ascii="Calibri" w:hAnsi="Calibri" w:cs="Calibri"/>
      <w:sz w:val="22"/>
      <w:szCs w:val="22"/>
      <w:lang w:val="sq-AL" w:eastAsia="en-US"/>
    </w:rPr>
  </w:style>
  <w:style w:type="paragraph" w:customStyle="1" w:styleId="CharChar3CharCharCharCharCharCharCharCharChar">
    <w:name w:val="Char Char3 Char Char Char Char Char Char Char Char Char"/>
    <w:basedOn w:val="Normal"/>
    <w:uiPriority w:val="99"/>
    <w:rsid w:val="00823275"/>
    <w:pPr>
      <w:spacing w:after="160" w:line="240" w:lineRule="exact"/>
    </w:pPr>
    <w:rPr>
      <w:rFonts w:ascii="Tahoma" w:hAnsi="Tahoma" w:cs="Tahoma"/>
      <w:sz w:val="20"/>
      <w:szCs w:val="20"/>
    </w:rPr>
  </w:style>
  <w:style w:type="paragraph" w:styleId="TOC1">
    <w:name w:val="toc 1"/>
    <w:basedOn w:val="Normal"/>
    <w:next w:val="Normal"/>
    <w:autoRedefine/>
    <w:uiPriority w:val="99"/>
    <w:semiHidden/>
    <w:rsid w:val="001A2D41"/>
    <w:pPr>
      <w:tabs>
        <w:tab w:val="left" w:pos="720"/>
        <w:tab w:val="right" w:leader="dot" w:pos="9628"/>
      </w:tabs>
      <w:jc w:val="both"/>
    </w:pPr>
  </w:style>
  <w:style w:type="paragraph" w:customStyle="1" w:styleId="CharChar4Char">
    <w:name w:val="Char Char4 Char"/>
    <w:basedOn w:val="Normal"/>
    <w:uiPriority w:val="99"/>
    <w:rsid w:val="009D1882"/>
    <w:pPr>
      <w:spacing w:after="160" w:line="240" w:lineRule="exact"/>
    </w:pPr>
    <w:rPr>
      <w:rFonts w:ascii="Tahoma" w:hAnsi="Tahoma" w:cs="Tahoma"/>
      <w:sz w:val="20"/>
      <w:szCs w:val="20"/>
    </w:rPr>
  </w:style>
  <w:style w:type="character" w:customStyle="1" w:styleId="hps">
    <w:name w:val="hps"/>
    <w:basedOn w:val="DefaultParagraphFont"/>
    <w:uiPriority w:val="99"/>
    <w:rsid w:val="003515A5"/>
  </w:style>
  <w:style w:type="paragraph" w:styleId="TOC2">
    <w:name w:val="toc 2"/>
    <w:basedOn w:val="Normal"/>
    <w:next w:val="Normal"/>
    <w:autoRedefine/>
    <w:uiPriority w:val="99"/>
    <w:semiHidden/>
    <w:locked/>
    <w:rsid w:val="00947121"/>
    <w:pPr>
      <w:ind w:left="240"/>
    </w:pPr>
  </w:style>
  <w:style w:type="paragraph" w:styleId="TOC3">
    <w:name w:val="toc 3"/>
    <w:basedOn w:val="Normal"/>
    <w:next w:val="Normal"/>
    <w:autoRedefine/>
    <w:uiPriority w:val="99"/>
    <w:semiHidden/>
    <w:locked/>
    <w:rsid w:val="00947121"/>
    <w:pPr>
      <w:ind w:left="480"/>
    </w:pPr>
  </w:style>
  <w:style w:type="paragraph" w:styleId="TOC4">
    <w:name w:val="toc 4"/>
    <w:basedOn w:val="Normal"/>
    <w:next w:val="Normal"/>
    <w:autoRedefine/>
    <w:uiPriority w:val="99"/>
    <w:semiHidden/>
    <w:locked/>
    <w:rsid w:val="00947121"/>
    <w:pPr>
      <w:ind w:left="720"/>
    </w:pPr>
  </w:style>
  <w:style w:type="paragraph" w:styleId="NoSpacing">
    <w:name w:val="No Spacing"/>
    <w:uiPriority w:val="99"/>
    <w:qFormat/>
    <w:rsid w:val="00E171D6"/>
    <w:rPr>
      <w:sz w:val="24"/>
      <w:szCs w:val="24"/>
      <w:lang w:val="sq-AL"/>
    </w:rPr>
  </w:style>
  <w:style w:type="numbering" w:styleId="111111">
    <w:name w:val="Outline List 2"/>
    <w:basedOn w:val="NoList"/>
    <w:uiPriority w:val="99"/>
    <w:semiHidden/>
    <w:unhideWhenUsed/>
    <w:locked/>
    <w:rsid w:val="003C4799"/>
    <w:pPr>
      <w:numPr>
        <w:numId w:val="3"/>
      </w:numPr>
    </w:pPr>
  </w:style>
  <w:style w:type="numbering" w:customStyle="1" w:styleId="Style1">
    <w:name w:val="Style1"/>
    <w:rsid w:val="003C4799"/>
    <w:pPr>
      <w:numPr>
        <w:numId w:val="4"/>
      </w:numPr>
    </w:pPr>
  </w:style>
</w:styles>
</file>

<file path=word/webSettings.xml><?xml version="1.0" encoding="utf-8"?>
<w:webSettings xmlns:r="http://schemas.openxmlformats.org/officeDocument/2006/relationships" xmlns:w="http://schemas.openxmlformats.org/wordprocessingml/2006/main">
  <w:divs>
    <w:div w:id="1547595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k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pm-k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http://kpm-ks.org/materiale/dokument/1304587848.8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7861</Words>
  <Characters>-32766</Characters>
  <Application>Microsoft Office Outlook</Application>
  <DocSecurity>0</DocSecurity>
  <Lines>0</Lines>
  <Paragraphs>0</Paragraphs>
  <ScaleCrop>false</ScaleCrop>
  <Company>Ombudsperson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 Member</dc:creator>
  <cp:keywords/>
  <dc:description/>
  <cp:lastModifiedBy>fcocaj</cp:lastModifiedBy>
  <cp:revision>2</cp:revision>
  <cp:lastPrinted>2012-03-12T14:54:00Z</cp:lastPrinted>
  <dcterms:created xsi:type="dcterms:W3CDTF">2013-03-29T07:49:00Z</dcterms:created>
  <dcterms:modified xsi:type="dcterms:W3CDTF">2013-03-29T07:49:00Z</dcterms:modified>
</cp:coreProperties>
</file>