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58" w:rsidRPr="00CA1CEA" w:rsidRDefault="006B0776" w:rsidP="006B077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943600" cy="1600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58" w:rsidRPr="006B0776" w:rsidRDefault="0052691B" w:rsidP="00E16C9A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  <w:lang w:val="sq-AL"/>
        </w:rPr>
      </w:pPr>
      <w:r w:rsidRPr="006B0776">
        <w:rPr>
          <w:rFonts w:ascii="Times New Roman" w:hAnsi="Times New Roman"/>
          <w:b/>
          <w:color w:val="000000" w:themeColor="text1"/>
          <w:sz w:val="36"/>
          <w:szCs w:val="36"/>
          <w:lang w:val="sq-AL"/>
        </w:rPr>
        <w:t xml:space="preserve">MEMO SQARUESE </w:t>
      </w:r>
    </w:p>
    <w:p w:rsidR="00283658" w:rsidRPr="00CA1CEA" w:rsidRDefault="00B52680" w:rsidP="00F6388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Me q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llim t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sqarimit t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ë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m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nyr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 s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rcaktimit t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taks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 s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licenc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 vjetore p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 ofruesit e sh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rbimeve mediale audio-vizuele sipas </w:t>
      </w:r>
      <w:r w:rsidR="00F63888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DRAFT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Rregullores </w:t>
      </w:r>
      <w:r w:rsidR="00F63888" w:rsidRPr="006B0776">
        <w:rPr>
          <w:rFonts w:ascii="Times New Roman" w:hAnsi="Times New Roman"/>
          <w:bCs/>
          <w:color w:val="000000" w:themeColor="text1"/>
          <w:sz w:val="24"/>
          <w:szCs w:val="24"/>
        </w:rPr>
        <w:t>KKPM-2013/06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, </w:t>
      </w:r>
      <w:r w:rsidR="00D84B2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Komisioni</w:t>
      </w:r>
      <w:r w:rsidR="00E37176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i KPM-s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9F7246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paraqet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t</w:t>
      </w:r>
      <w:r w:rsidR="008B31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memo sqaruese. </w:t>
      </w:r>
    </w:p>
    <w:p w:rsidR="003071AD" w:rsidRPr="006B0776" w:rsidRDefault="00F63888" w:rsidP="00E16C9A">
      <w:pPr>
        <w:pStyle w:val="Heading1"/>
        <w:rPr>
          <w:b/>
          <w:color w:val="000000" w:themeColor="text1"/>
          <w:sz w:val="28"/>
          <w:szCs w:val="28"/>
          <w:lang w:val="sq-AL"/>
        </w:rPr>
      </w:pPr>
      <w:r w:rsidRPr="006B0776">
        <w:rPr>
          <w:b/>
          <w:color w:val="000000" w:themeColor="text1"/>
          <w:sz w:val="28"/>
          <w:szCs w:val="28"/>
          <w:lang w:val="sq-AL"/>
        </w:rPr>
        <w:t>KRITERET E VLERËSIMIT TË TAKSËS VJETORE TË LICENCËS</w:t>
      </w:r>
    </w:p>
    <w:p w:rsidR="008B31B4" w:rsidRPr="00CA1CEA" w:rsidRDefault="00923711" w:rsidP="00E16C9A">
      <w:pPr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  <w:t>Sh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  <w:t>rbimet mediale audiovizuale me frekuenc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  <w:t xml:space="preserve"> </w:t>
      </w:r>
    </w:p>
    <w:p w:rsidR="008B31B4" w:rsidRPr="00CA1CEA" w:rsidRDefault="008B31B4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Kriteret e vlerësimit të taksës vjetore </w:t>
      </w:r>
      <w:r w:rsidR="00426A3D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për </w:t>
      </w:r>
      <w:r w:rsid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</w:t>
      </w:r>
      <w:r w:rsidR="00426A3D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hërbimet mediale audiovizuale me frekuencë</w:t>
      </w:r>
      <w:r w:rsidR="0070147D" w:rsidRPr="00CA1CEA" w:rsidDel="0070147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jan</w:t>
      </w:r>
      <w:r w:rsidR="00762BF3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përcaktuar </w:t>
      </w:r>
      <w:r w:rsidR="00DF780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si n</w:t>
      </w:r>
      <w:r w:rsidR="00762BF3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DF780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vijim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:</w:t>
      </w:r>
    </w:p>
    <w:p w:rsidR="006F3191" w:rsidRPr="00CA1CEA" w:rsidRDefault="006F3191" w:rsidP="00E16C9A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sq-AL"/>
        </w:rPr>
      </w:pPr>
      <w:r w:rsidRPr="00CA1CEA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sq-AL"/>
        </w:rPr>
        <w:t xml:space="preserve">A - Vlera </w:t>
      </w:r>
      <w:r w:rsidR="00F63888" w:rsidRPr="00CA1CEA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sq-AL"/>
        </w:rPr>
        <w:t>baz</w:t>
      </w:r>
      <w:r w:rsidR="006B0776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sq-AL"/>
        </w:rPr>
        <w:t>ë</w:t>
      </w:r>
      <w:r w:rsidR="00F63888" w:rsidRPr="00CA1CEA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sq-AL"/>
        </w:rPr>
        <w:t xml:space="preserve"> </w:t>
      </w:r>
      <w:r w:rsidRPr="00CA1CEA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sq-AL"/>
        </w:rPr>
        <w:t xml:space="preserve">e shprehur </w:t>
      </w:r>
    </w:p>
    <w:p w:rsidR="006F3191" w:rsidRPr="006B0776" w:rsidRDefault="0073639F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vitin 2010, K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shilli i KPM-s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ka miratuar Rregulloren KKPM 2010/02 sipas 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cil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 l</w:t>
      </w:r>
      <w:r w:rsidR="006F3191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logaritja e taksës vjetore për licencë është bërë në bazë të buxhetit të përgjithshëm vjetor të </w:t>
      </w:r>
      <w:r w:rsidR="00677316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Shërbimeve</w:t>
      </w:r>
      <w:r w:rsidR="00426A3D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mediale audiovizuale me frekuencë</w:t>
      </w:r>
      <w:r w:rsidR="006F3191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për vitin 2009 (18,500,000.00 euro), dhe është pjesëtuar me numrin e</w:t>
      </w:r>
      <w:r w:rsidR="0070147D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Shërbimeve mediale audiovizuale me frekuencë</w:t>
      </w:r>
      <w:r w:rsidR="006F3191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(104) dhe me ditët e vitit (365) dhe në fund është bërë pjesëtim me 24 orë. </w:t>
      </w:r>
    </w:p>
    <w:p w:rsidR="006F3191" w:rsidRPr="006B0776" w:rsidRDefault="006F3191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Dmth. 18,500,000.00 € / 104 </w:t>
      </w:r>
      <w:r w:rsidR="00677316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shërbime</w:t>
      </w:r>
      <w:r w:rsidR="0070147D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mediale audiovizuale me frekuencë</w:t>
      </w:r>
      <w:r w:rsidR="0070147D" w:rsidRPr="006B0776" w:rsidDel="0070147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= 177,884.60 € / 365 ditë = 487,355,10 / 24 orë = 20.30 €</w:t>
      </w:r>
    </w:p>
    <w:p w:rsidR="003D7487" w:rsidRPr="006B0776" w:rsidRDefault="0073639F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vitin 2013, KPM ka b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r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nj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hulumtim 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tregut sipas 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cilit ka pasur rritje p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r 60% 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buxhetit 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baz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hyrave nga reklama 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krahasim me vitin 2009. K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shtuq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koeficienti baz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rritet nga A= 20 p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r 60% n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A=32</w:t>
      </w:r>
      <w:r w:rsidR="00677316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 Euro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. </w:t>
      </w:r>
    </w:p>
    <w:p w:rsidR="00CF73B4" w:rsidRPr="00CA1CEA" w:rsidRDefault="00CF73B4" w:rsidP="00E16C9A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A=32</w:t>
      </w:r>
    </w:p>
    <w:p w:rsidR="006F3191" w:rsidRPr="00CA1CEA" w:rsidRDefault="006F3191" w:rsidP="00E16C9A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sq-AL"/>
        </w:rPr>
      </w:pPr>
      <w:r w:rsidRPr="00CA1CEA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sq-AL"/>
        </w:rPr>
        <w:t xml:space="preserve">B - Koeficienti i mbulueshmërisë </w:t>
      </w:r>
    </w:p>
    <w:p w:rsidR="006F3191" w:rsidRPr="006B0776" w:rsidRDefault="006F3191" w:rsidP="00E16C9A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Koeficienti B është i bazuar në numrin e banorëve që jetojnë në zonën e mbulimit të </w:t>
      </w:r>
      <w:r w:rsidR="0070147D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shërbimit medial audiovizual me frekuencë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. Duke marrë parasysh numrin e përgjithshëm të banorëve të Kosovës 2,236,963 banorë sipas Ligjit Nr.03/L-049 për Financat e Pushtetit Lokal (miratuar nga Kuvendi i Republikës së Kosovës më 13.03.2008), ky faktor do të marrë vlerën varësisht nga 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lastRenderedPageBreak/>
        <w:t xml:space="preserve">zona e mbulimit. Të dhënat për shtrirjen e popullsisë në Kosovë janë marrë nga Ministria e Ekonomisë dhe Financave. 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at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koh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i 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b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r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referenc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Ministris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r shkak 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munges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 s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dh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nave zyrtare p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r numrin e popullsis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. </w:t>
      </w:r>
      <w:r w:rsidRPr="006B077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B = 1 njësi = deri 100.000 banorë </w:t>
      </w:r>
    </w:p>
    <w:p w:rsidR="00CF73B4" w:rsidRPr="006B0776" w:rsidRDefault="006F3191" w:rsidP="00CF73B4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Për </w:t>
      </w:r>
      <w:r w:rsidR="0070147D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shërbimet mediale audiovizuale me frekuencë</w:t>
      </w:r>
      <w:r w:rsidR="0070147D" w:rsidRPr="006B0776" w:rsidDel="0070147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me mbulim nacional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është llogaritur koeficienti 21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(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95% </w:t>
      </w:r>
      <w:r w:rsidR="00391A9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e 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2.2 milion banorë)</w:t>
      </w:r>
      <w:r w:rsidR="00D1512E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.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50588F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</w:t>
      </w:r>
      <w:r w:rsidR="0050588F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t</w:t>
      </w:r>
      <w:r w:rsidR="0050588F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rast, KPM ka llogaritur 95% t</w:t>
      </w:r>
      <w:r w:rsidR="0050588F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popullsis</w:t>
      </w:r>
      <w:r w:rsidR="0050588F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s</w:t>
      </w:r>
      <w:r w:rsidR="0050588F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</w:t>
      </w:r>
      <w:r w:rsidR="0050588F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rgjiths</w:t>
      </w:r>
      <w:r w:rsidR="0050588F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h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me duke u bazuar edhe n</w:t>
      </w:r>
      <w:r w:rsidR="0050588F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praktikat evropiane p</w:t>
      </w:r>
      <w:r w:rsidR="0050588F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r mbulueshm</w:t>
      </w:r>
      <w:r w:rsidR="0050588F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EA242B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ri.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Tani, pasiq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n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Kosov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b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r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regjistrimi i popullsis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dhe sipas Agjencis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s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Statistikave 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Kosov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</w:t>
      </w:r>
      <w:r w:rsidR="00297EC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(ASK)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, 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cilat p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rdoren tani si referenc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nga 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gjitha institucionet, Kosova konsiderohet 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ket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1,7 milion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banor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, koeficienti i mbulueshm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ris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ndryshon nga 21 n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17. </w:t>
      </w:r>
    </w:p>
    <w:p w:rsidR="006F3191" w:rsidRPr="00CA1CEA" w:rsidRDefault="006F3191" w:rsidP="00E16C9A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B=</w:t>
      </w:r>
      <w:r w:rsidR="00CF73B4"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17</w:t>
      </w:r>
    </w:p>
    <w:p w:rsidR="00D1512E" w:rsidRPr="006B0776" w:rsidRDefault="006F3191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Për </w:t>
      </w:r>
      <w:r w:rsidR="0070147D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shërbimet mediale audiovizuale me frekuencë</w:t>
      </w:r>
      <w:r w:rsidR="0070147D" w:rsidRPr="006B0776" w:rsidDel="0070147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me mbulim regjional është llogaritur koeficienti </w:t>
      </w:r>
      <w:r w:rsidRPr="006B077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3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(si mesatare që këto </w:t>
      </w:r>
      <w:r w:rsidR="0070147D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shërbime mediale audiovizuale me frekuencë</w:t>
      </w:r>
      <w:r w:rsidR="0070147D" w:rsidRPr="006B0776" w:rsidDel="0070147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që përveç komunës së caktuar (1.5) mbulojnë edhe më gjerë, gjegjësisht transmetojnë nga pika transmetuese të koordinuara për transmetimin nacional)</w:t>
      </w:r>
      <w:r w:rsidR="00D1512E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.</w:t>
      </w:r>
    </w:p>
    <w:p w:rsidR="006F3191" w:rsidRPr="006B0776" w:rsidRDefault="006F3191" w:rsidP="00E16C9A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B=3</w:t>
      </w:r>
    </w:p>
    <w:p w:rsidR="006F3191" w:rsidRPr="006B0776" w:rsidRDefault="006F3191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Për </w:t>
      </w:r>
      <w:r w:rsidR="0070147D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shërbimet mediale audiovizuale me frekuencë</w:t>
      </w:r>
      <w:r w:rsidR="0070147D" w:rsidRPr="006B0776" w:rsidDel="0070147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me mbulim lokal është llogaritur mesatarja e numrit të banorëve prej 150,000 </w:t>
      </w:r>
      <w:r w:rsidRPr="006B077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B=1.5</w:t>
      </w:r>
    </w:p>
    <w:p w:rsidR="00D1512E" w:rsidRPr="00CA1CEA" w:rsidRDefault="006F3191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Koeficienti </w:t>
      </w:r>
      <w:r w:rsidRPr="006B077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1</w:t>
      </w:r>
      <w:r w:rsidR="00677316" w:rsidRPr="006B077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.</w:t>
      </w:r>
      <w:r w:rsidR="00CF73B4" w:rsidRPr="006B077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2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është përcaktuar </w:t>
      </w:r>
      <w:r w:rsidR="00677316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p</w:t>
      </w:r>
      <w:r w:rsidR="00CC3071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677316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r </w:t>
      </w:r>
      <w:r w:rsidR="0070147D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shërbimet mediale audiovizuale me frekuencë</w:t>
      </w:r>
      <w:r w:rsidR="0070147D" w:rsidRPr="006B0776" w:rsidDel="0070147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që transmetojnë me fuqi të ulët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. N</w:t>
      </w:r>
      <w:r w:rsidR="00472865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vitin 2009 ky koeficient ka</w:t>
      </w:r>
      <w:r w:rsidR="00CF73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qen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CF73B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1. </w:t>
      </w:r>
    </w:p>
    <w:p w:rsidR="006F3191" w:rsidRPr="00CA1CEA" w:rsidRDefault="006F3191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B=1</w:t>
      </w:r>
      <w:r w:rsidR="00677316"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.</w:t>
      </w:r>
      <w:r w:rsidR="00CF73B4"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2</w:t>
      </w: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 (si vlerë minimale e mundur).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ab/>
      </w:r>
    </w:p>
    <w:p w:rsidR="006F3191" w:rsidRPr="006B0776" w:rsidRDefault="006F3191" w:rsidP="00E16C9A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b/>
          <w:i/>
          <w:color w:val="000000" w:themeColor="text1"/>
          <w:sz w:val="24"/>
          <w:szCs w:val="24"/>
          <w:lang w:val="sq-AL"/>
        </w:rPr>
        <w:t xml:space="preserve">C - Koeficienti i llojit të </w:t>
      </w:r>
      <w:r w:rsidR="0070147D" w:rsidRPr="006B0776">
        <w:rPr>
          <w:rFonts w:ascii="Times New Roman" w:hAnsi="Times New Roman"/>
          <w:b/>
          <w:i/>
          <w:color w:val="000000" w:themeColor="text1"/>
          <w:sz w:val="24"/>
          <w:szCs w:val="24"/>
          <w:lang w:val="sq-AL"/>
        </w:rPr>
        <w:t>shërbimit medial audiovizual me frekuencë</w:t>
      </w:r>
    </w:p>
    <w:p w:rsidR="006F3191" w:rsidRPr="00CA1CEA" w:rsidRDefault="006F3191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Koeficienti C është i bazuar varësisht nga lloji i </w:t>
      </w:r>
      <w:r w:rsidR="0070147D" w:rsidRPr="00CA1CEA"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  <w:t>shërbimit medial audiovizual me frekuencë</w:t>
      </w:r>
      <w:r w:rsidR="0070147D" w:rsidRPr="00CA1CEA" w:rsidDel="0070147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duke marrë vlera respektive:</w:t>
      </w:r>
    </w:p>
    <w:p w:rsidR="006F3191" w:rsidRPr="00CA1CEA" w:rsidRDefault="003D7487" w:rsidP="00E16C9A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Radio</w:t>
      </w:r>
      <w:r w:rsidR="006B077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="006B077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="006B077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1.5</w:t>
      </w:r>
      <w:r w:rsidR="006F3191"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 </w:t>
      </w:r>
    </w:p>
    <w:p w:rsidR="006F3191" w:rsidRPr="00CA1CEA" w:rsidRDefault="006B0776" w:rsidP="00E16C9A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Televizion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ab/>
      </w:r>
      <w:r w:rsidR="003D7487"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2</w:t>
      </w:r>
      <w:r w:rsidR="006F3191"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 </w:t>
      </w:r>
    </w:p>
    <w:p w:rsidR="000936E7" w:rsidRPr="00CA1CEA" w:rsidRDefault="00CF73B4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vitin 2009, koeficient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t kan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qen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1 p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 radio dhe 1,5 p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r TV. </w:t>
      </w:r>
    </w:p>
    <w:p w:rsidR="006F3191" w:rsidRPr="00CA1CEA" w:rsidRDefault="006F3191" w:rsidP="00E16C9A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sq-AL"/>
        </w:rPr>
      </w:pPr>
      <w:r w:rsidRPr="00CA1CEA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sq-AL"/>
        </w:rPr>
        <w:t xml:space="preserve">D – Koeficienti i Kategorizimit </w:t>
      </w:r>
    </w:p>
    <w:p w:rsidR="006F3191" w:rsidRPr="006B0776" w:rsidRDefault="006F3191" w:rsidP="00E16C9A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Koeficienti D është i bazuar në kategorizim varësisht nga kategoria e </w:t>
      </w:r>
      <w:r w:rsidR="0070147D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shërbimit medial audiovizual me frekuencë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: </w:t>
      </w:r>
    </w:p>
    <w:p w:rsidR="006B0776" w:rsidRDefault="0070147D" w:rsidP="00E16C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Shërbimi</w:t>
      </w:r>
      <w:r w:rsidR="00F63888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t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medial audiovizual me frekuencë</w:t>
      </w:r>
      <w:r w:rsidRPr="006B0776" w:rsidDel="0070147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6F3191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me fuqi të ulët i është përcaktuar koeficienti 1</w:t>
      </w:r>
      <w:r w:rsidR="003D7487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,2</w:t>
      </w:r>
      <w:r w:rsidR="006F3191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; </w:t>
      </w:r>
    </w:p>
    <w:p w:rsidR="006F3191" w:rsidRPr="006B0776" w:rsidRDefault="0070147D" w:rsidP="00E16C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lastRenderedPageBreak/>
        <w:t>Shërbimit medial audiovizual me frekuencë</w:t>
      </w:r>
      <w:r w:rsidRPr="006B0776" w:rsidDel="0070147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6F3191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me mbulim lokal i është përcaktuar koeficienti</w:t>
      </w:r>
      <w:r w:rsidR="006F3191" w:rsidRPr="006B077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 </w:t>
      </w:r>
      <w:r w:rsidR="006F3191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1.5;</w:t>
      </w:r>
    </w:p>
    <w:p w:rsidR="006F3191" w:rsidRPr="006B0776" w:rsidRDefault="0070147D" w:rsidP="00E16C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Shërbimit medial audiovizual me frekuencë</w:t>
      </w:r>
      <w:r w:rsidRPr="006B0776" w:rsidDel="0070147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6F3191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me mbulim regjional 1.75; dhe</w:t>
      </w:r>
    </w:p>
    <w:p w:rsidR="006F3191" w:rsidRPr="006B0776" w:rsidRDefault="0070147D" w:rsidP="00E16C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Shërbimit medial</w:t>
      </w:r>
      <w:r w:rsidRPr="006B0776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audiovizual me frekuencë</w:t>
      </w:r>
      <w:r w:rsidRPr="006B0776" w:rsidDel="0070147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6F3191" w:rsidRP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>me mbulim nacional i është përcaktuar koeficienti 2.</w:t>
      </w:r>
    </w:p>
    <w:p w:rsidR="008D7E28" w:rsidRPr="00CA1CEA" w:rsidRDefault="008D7E28" w:rsidP="00E16C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</w:p>
    <w:p w:rsidR="00283658" w:rsidRPr="00CA1CEA" w:rsidRDefault="006F3191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Dmth: Në bazë të formulës A x B x C x D x 12 muaj janë nxjerrë shumat vjetore të taksave për licencë për </w:t>
      </w:r>
      <w:r w:rsidR="0070147D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Shërbimet mediale audiovizual</w:t>
      </w:r>
      <w:r w:rsidR="002A4E6B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e</w:t>
      </w:r>
      <w:r w:rsidR="0070147D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me frekuencë</w:t>
      </w:r>
      <w:r w:rsidR="0070147D" w:rsidRPr="00CA1CEA" w:rsidDel="0070147D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varësisht nga mbulimi, lloji dhe kategoria e tyre. </w:t>
      </w:r>
    </w:p>
    <w:tbl>
      <w:tblPr>
        <w:tblW w:w="8851" w:type="dxa"/>
        <w:jc w:val="center"/>
        <w:tblInd w:w="-946" w:type="dxa"/>
        <w:tblLook w:val="04A0"/>
      </w:tblPr>
      <w:tblGrid>
        <w:gridCol w:w="2266"/>
        <w:gridCol w:w="1756"/>
        <w:gridCol w:w="960"/>
        <w:gridCol w:w="960"/>
        <w:gridCol w:w="1260"/>
        <w:gridCol w:w="1649"/>
      </w:tblGrid>
      <w:tr w:rsidR="00455ADE" w:rsidRPr="00CA1CEA" w:rsidTr="00F63888">
        <w:trPr>
          <w:trHeight w:val="630"/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</w:p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 xml:space="preserve">Kategoria 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C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D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Shuma vjetore në Euro (€)</w:t>
            </w:r>
          </w:p>
        </w:tc>
      </w:tr>
      <w:tr w:rsidR="00455ADE" w:rsidRPr="00CA1CEA" w:rsidTr="00F63888">
        <w:trPr>
          <w:trHeight w:val="630"/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Radio me fuqi të ulët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1.2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1.5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1.2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829.44</w:t>
            </w:r>
          </w:p>
        </w:tc>
      </w:tr>
      <w:tr w:rsidR="00455ADE" w:rsidRPr="00CA1CEA" w:rsidTr="00F63888">
        <w:trPr>
          <w:trHeight w:val="630"/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TV me fuqi të ulët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1.2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1.2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1105.92</w:t>
            </w:r>
          </w:p>
        </w:tc>
      </w:tr>
      <w:tr w:rsidR="00455ADE" w:rsidRPr="00CA1CEA" w:rsidTr="00F63888">
        <w:trPr>
          <w:trHeight w:val="630"/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Radio lokale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1.5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1.5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1728</w:t>
            </w:r>
          </w:p>
        </w:tc>
      </w:tr>
      <w:tr w:rsidR="00455ADE" w:rsidRPr="00CA1CEA" w:rsidTr="00F63888">
        <w:trPr>
          <w:trHeight w:val="630"/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TV lokale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1.5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2304</w:t>
            </w:r>
          </w:p>
        </w:tc>
      </w:tr>
      <w:tr w:rsidR="00455ADE" w:rsidRPr="00CA1CEA" w:rsidTr="00F63888">
        <w:trPr>
          <w:trHeight w:val="630"/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Radio regjionale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1.5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1.75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3024</w:t>
            </w:r>
          </w:p>
        </w:tc>
      </w:tr>
      <w:tr w:rsidR="00455ADE" w:rsidRPr="00CA1CEA" w:rsidTr="00F63888">
        <w:trPr>
          <w:trHeight w:val="630"/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TV regjionale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1.75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4032</w:t>
            </w:r>
          </w:p>
        </w:tc>
      </w:tr>
      <w:tr w:rsidR="00455ADE" w:rsidRPr="00CA1CEA" w:rsidTr="00F63888">
        <w:trPr>
          <w:trHeight w:val="630"/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Radio nacionale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1.5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20736</w:t>
            </w:r>
          </w:p>
        </w:tc>
      </w:tr>
      <w:tr w:rsidR="00455ADE" w:rsidRPr="00CA1CEA" w:rsidTr="00F63888">
        <w:trPr>
          <w:trHeight w:val="630"/>
          <w:jc w:val="center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TV nacionale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2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455ADE" w:rsidRPr="00CA1CEA" w:rsidRDefault="00455ADE" w:rsidP="00455A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27648</w:t>
            </w:r>
          </w:p>
        </w:tc>
      </w:tr>
    </w:tbl>
    <w:p w:rsidR="006B0776" w:rsidRDefault="006B0776" w:rsidP="00426A3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</w:p>
    <w:p w:rsidR="00426A3D" w:rsidRPr="00CA1CEA" w:rsidRDefault="00F63888" w:rsidP="00426A3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KATEGORIZIMI I SHËRBIMEVE MEDIALE AUDIOVIZUALE ME FREKUENCË</w:t>
      </w:r>
    </w:p>
    <w:p w:rsidR="0070147D" w:rsidRPr="00CA1CEA" w:rsidRDefault="0070147D" w:rsidP="006B0776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Me qëllim të definimit të kategorizimeve të shërbimeve mediale audiovizuale me frekuencë, ashtu sic parashihet edhe me ligjin për KPM-në, në rregulloren për taksën për licencë KPM </w:t>
      </w:r>
      <w:r w:rsidR="006B0776" w:rsidRPr="006B0776">
        <w:rPr>
          <w:rFonts w:ascii="Times New Roman" w:hAnsi="Times New Roman"/>
          <w:bCs/>
          <w:color w:val="000000" w:themeColor="text1"/>
          <w:sz w:val="24"/>
          <w:szCs w:val="24"/>
        </w:rPr>
        <w:t>KKPM-2013/06</w:t>
      </w:r>
      <w:r w:rsidR="006B07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është shtuar edhe pjesa e cila </w:t>
      </w:r>
      <w:r w:rsidR="002A4E6B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e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bënë</w:t>
      </w:r>
      <w:r w:rsidR="00426A3D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përcaktimi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n e</w:t>
      </w:r>
      <w:r w:rsidR="00426A3D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definicioneve lidhur me kategorizimin e shërbimeve mediale audiovizuale me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frekuencë</w:t>
      </w:r>
      <w:r w:rsidR="00426A3D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.</w:t>
      </w:r>
    </w:p>
    <w:p w:rsidR="0070147D" w:rsidRPr="00CA1CEA" w:rsidRDefault="0070147D" w:rsidP="006B0776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Kriteret mbi të cilat është bërë ndarja e kategorive të shërbimeve mediale audiovizuale me frekuencë janë: përqindja e mbulimit; numri i komunave të mbuluara me sinjal; lartësia mbidetare si dhe fuqia e transmetimit. Ndarja e kategorive të shërbimeve mediale audiovizuale me frekuencë është bërë</w:t>
      </w:r>
      <w:r w:rsidR="002A4E6B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si m</w:t>
      </w:r>
      <w:r w:rsidR="00CC307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poshtë: </w:t>
      </w:r>
    </w:p>
    <w:p w:rsidR="00426A3D" w:rsidRPr="00CA1CEA" w:rsidRDefault="0070147D" w:rsidP="006B0776">
      <w:pPr>
        <w:pStyle w:val="t-98-2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CA1CEA">
        <w:rPr>
          <w:b/>
          <w:color w:val="000000" w:themeColor="text1"/>
        </w:rPr>
        <w:lastRenderedPageBreak/>
        <w:t>Kategoria me mbulim nacional</w:t>
      </w:r>
      <w:r w:rsidRPr="00CA1CEA">
        <w:rPr>
          <w:color w:val="000000" w:themeColor="text1"/>
        </w:rPr>
        <w:t>, i përket shërbimeve mediale audiovizuale të cilat, përmes rrjetit frekuencor,</w:t>
      </w:r>
      <w:r w:rsidR="002A4E6B" w:rsidRPr="00CA1CEA">
        <w:rPr>
          <w:color w:val="000000" w:themeColor="text1"/>
        </w:rPr>
        <w:t xml:space="preserve"> mbulojnë me sinjal prej 90-</w:t>
      </w:r>
      <w:r w:rsidRPr="00CA1CEA">
        <w:rPr>
          <w:color w:val="000000" w:themeColor="text1"/>
        </w:rPr>
        <w:t>95% të territorit të Republikës së Kosovës;</w:t>
      </w:r>
    </w:p>
    <w:p w:rsidR="00426A3D" w:rsidRPr="00CA1CEA" w:rsidRDefault="0070147D" w:rsidP="006B0776">
      <w:pPr>
        <w:pStyle w:val="t-98-2"/>
        <w:numPr>
          <w:ilvl w:val="0"/>
          <w:numId w:val="1"/>
        </w:numPr>
        <w:spacing w:before="240" w:beforeAutospacing="0" w:after="0" w:afterAutospacing="0"/>
        <w:jc w:val="both"/>
        <w:rPr>
          <w:color w:val="000000" w:themeColor="text1"/>
        </w:rPr>
      </w:pPr>
      <w:r w:rsidRPr="00CA1CEA">
        <w:rPr>
          <w:b/>
          <w:color w:val="000000" w:themeColor="text1"/>
        </w:rPr>
        <w:t>Kategoria me mbulim regjional</w:t>
      </w:r>
      <w:r w:rsidRPr="00CA1CEA">
        <w:rPr>
          <w:color w:val="000000" w:themeColor="text1"/>
        </w:rPr>
        <w:t xml:space="preserve">, i përket shërbimeve mediale audiovizuale të cilat mbulojnë me sinjal radio televiziv, përmes rrjetit frekuencor, </w:t>
      </w:r>
      <w:r w:rsidR="002A4E6B" w:rsidRPr="00CA1CEA">
        <w:rPr>
          <w:color w:val="000000" w:themeColor="text1"/>
        </w:rPr>
        <w:t>më shumë se tri komuna (15-20</w:t>
      </w:r>
      <w:r w:rsidRPr="00CA1CEA">
        <w:rPr>
          <w:color w:val="000000" w:themeColor="text1"/>
        </w:rPr>
        <w:t xml:space="preserve"> % të  territorit të Republikës së Kosovës) dhe që transmetojnë nga pika të larta transmetimi në lartësi mbidetare prej 500 deri - 700 m;</w:t>
      </w:r>
    </w:p>
    <w:p w:rsidR="0070147D" w:rsidRPr="00CA1CEA" w:rsidRDefault="0070147D" w:rsidP="006B0776">
      <w:pPr>
        <w:pStyle w:val="t-98-2"/>
        <w:spacing w:before="0" w:beforeAutospacing="0" w:after="0" w:afterAutospacing="0"/>
        <w:jc w:val="both"/>
        <w:rPr>
          <w:color w:val="000000" w:themeColor="text1"/>
        </w:rPr>
      </w:pPr>
      <w:r w:rsidRPr="00CA1CEA">
        <w:rPr>
          <w:color w:val="000000" w:themeColor="text1"/>
        </w:rPr>
        <w:t xml:space="preserve"> </w:t>
      </w:r>
    </w:p>
    <w:p w:rsidR="00426A3D" w:rsidRPr="00CA1CEA" w:rsidRDefault="0070147D" w:rsidP="006B0776">
      <w:pPr>
        <w:pStyle w:val="t-98-2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CA1CEA">
        <w:rPr>
          <w:b/>
          <w:color w:val="000000" w:themeColor="text1"/>
        </w:rPr>
        <w:t>Kategoria me mbulim lokal</w:t>
      </w:r>
      <w:r w:rsidRPr="00CA1CEA">
        <w:rPr>
          <w:color w:val="000000" w:themeColor="text1"/>
        </w:rPr>
        <w:t>, i përket shërbimeve mediale audiovizuale të cilat ofrojnë  mbulim me sinjal radio televiziv, përmes rrjetit frekuencor, deri në tri komuna (deri në 15% te territorit</w:t>
      </w:r>
      <w:r w:rsidR="002A4E6B" w:rsidRPr="00CA1CEA">
        <w:rPr>
          <w:color w:val="000000" w:themeColor="text1"/>
        </w:rPr>
        <w:t xml:space="preserve"> të Republikës së Kosovës</w:t>
      </w:r>
      <w:r w:rsidRPr="00CA1CEA">
        <w:rPr>
          <w:color w:val="000000" w:themeColor="text1"/>
        </w:rPr>
        <w:t>) dhe që transmetojnë nga pika më të ulta se 500 m lartësi mbidetare;</w:t>
      </w:r>
    </w:p>
    <w:p w:rsidR="0070147D" w:rsidRPr="00CA1CEA" w:rsidRDefault="0070147D" w:rsidP="006B0776">
      <w:pPr>
        <w:pStyle w:val="t-98-2"/>
        <w:spacing w:before="0" w:beforeAutospacing="0" w:after="0" w:afterAutospacing="0"/>
        <w:jc w:val="both"/>
        <w:rPr>
          <w:color w:val="000000" w:themeColor="text1"/>
        </w:rPr>
      </w:pPr>
      <w:r w:rsidRPr="00CA1CEA">
        <w:rPr>
          <w:color w:val="000000" w:themeColor="text1"/>
        </w:rPr>
        <w:t xml:space="preserve"> </w:t>
      </w:r>
    </w:p>
    <w:p w:rsidR="00426A3D" w:rsidRPr="00CA1CEA" w:rsidRDefault="0070147D" w:rsidP="006B0776">
      <w:pPr>
        <w:pStyle w:val="t-98-2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CA1CEA">
        <w:rPr>
          <w:b/>
          <w:color w:val="000000" w:themeColor="text1"/>
        </w:rPr>
        <w:t>Kategoria me fuqi të ulët transmetimi</w:t>
      </w:r>
      <w:r w:rsidRPr="00CA1CEA">
        <w:rPr>
          <w:color w:val="000000" w:themeColor="text1"/>
        </w:rPr>
        <w:t>, i përket shërbimeve mediale audiovizuale të cilat transmetojnë, përmes rrjetit frekuencor, me më pak se 50</w:t>
      </w:r>
      <w:r w:rsidR="00F13525">
        <w:rPr>
          <w:color w:val="000000" w:themeColor="text1"/>
        </w:rPr>
        <w:t>W</w:t>
      </w:r>
      <w:r w:rsidRPr="00CA1CEA">
        <w:rPr>
          <w:color w:val="000000" w:themeColor="text1"/>
        </w:rPr>
        <w:t xml:space="preserve"> fuqi transmetimi dhe që transmetojnë nga pika më të ulëta se 500 m lartësi mbidetare.</w:t>
      </w:r>
    </w:p>
    <w:p w:rsidR="00677316" w:rsidRPr="00CA1CEA" w:rsidRDefault="00677316" w:rsidP="00B004E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q-AL"/>
        </w:rPr>
      </w:pPr>
    </w:p>
    <w:p w:rsidR="00283658" w:rsidRPr="00CA1CEA" w:rsidRDefault="00F63888" w:rsidP="00B004E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OPERATORËT E RRJETIT </w:t>
      </w:r>
    </w:p>
    <w:p w:rsidR="006F3191" w:rsidRPr="00CA1CEA" w:rsidRDefault="00DF7805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Kriteret e vlerësimit të taksës vjetore për operator</w:t>
      </w:r>
      <w:r w:rsidR="00762BF3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t </w:t>
      </w:r>
      <w:r w:rsidR="000936E7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e rrjetit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 jan</w:t>
      </w:r>
      <w:r w:rsidR="00762BF3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përcaktuar si në vijim:</w:t>
      </w:r>
    </w:p>
    <w:p w:rsidR="006F3191" w:rsidRPr="00CA1CEA" w:rsidRDefault="006F3191" w:rsidP="00E16C9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Koeficienti A – Numri i banorëve</w:t>
      </w:r>
      <w:r w:rsidR="009F7246"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 (tregu potencial)</w:t>
      </w: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 </w:t>
      </w:r>
    </w:p>
    <w:p w:rsidR="006F3191" w:rsidRPr="00CA1CEA" w:rsidRDefault="006F3191" w:rsidP="00E16C9A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Për Prishtinën </w:t>
      </w:r>
      <w:r w:rsidR="006B465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ASK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llogaritë një popullsi prej </w:t>
      </w:r>
      <w:r w:rsidR="00477A3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205,133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banorësh, kështu që KPM-ja e bazon taksën për Prishtinën në këtë shifër. Për Prizrenin, </w:t>
      </w:r>
      <w:r w:rsidR="006B465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ASK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llogaritë një popullsi prej </w:t>
      </w:r>
      <w:r w:rsidR="00477A3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181,756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banorësh, kështu që KPM-ja mbështet taksën në këtë shifër për Prizrenin. Për qytetet tjerë kryesor të Kosovës </w:t>
      </w:r>
      <w:r w:rsidR="006B465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ASK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llogarit një popullsi </w:t>
      </w:r>
      <w:r w:rsidR="00D84B2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prej 110,000 – 115,000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banorësh, prandaj KPM-ja përdor shifrën bazë prej 110,000. Për të gjitha komunat tjera, shifra mesatare e popullsisë e llogaritur është </w:t>
      </w:r>
      <w:r w:rsidR="00D84B2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35,000 banorë.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</w:p>
    <w:p w:rsidR="006F3191" w:rsidRPr="00CA1CEA" w:rsidRDefault="006F3191" w:rsidP="00E16C9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 xml:space="preserve">Koeficienti B – Numri i parapaguesve potencial </w:t>
      </w:r>
    </w:p>
    <w:p w:rsidR="006F3191" w:rsidRPr="00CA1CEA" w:rsidRDefault="006F3191" w:rsidP="00E16C9A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Numri i parapaguesve </w:t>
      </w:r>
      <w:r w:rsidRPr="00CA1CEA">
        <w:rPr>
          <w:rFonts w:ascii="Times New Roman" w:hAnsi="Times New Roman"/>
          <w:i/>
          <w:iCs/>
          <w:color w:val="000000" w:themeColor="text1"/>
          <w:sz w:val="24"/>
          <w:szCs w:val="24"/>
          <w:lang w:val="sq-AL"/>
        </w:rPr>
        <w:t xml:space="preserve">potencial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është totali i popullsisë i </w:t>
      </w:r>
      <w:r w:rsidR="006B465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pjesëtuar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me mesataren e madhësisë së familjes prej </w:t>
      </w:r>
      <w:r w:rsidR="000936E7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5.8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persona në familje (duke u bazuar </w:t>
      </w:r>
      <w:r w:rsidR="000936E7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936E7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t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936E7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dh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0936E7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nat nga </w:t>
      </w:r>
      <w:r w:rsidR="006B465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Agjensioni </w:t>
      </w:r>
      <w:r w:rsidR="000936E7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i</w:t>
      </w:r>
      <w:r w:rsidR="006B465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Statistikave të Kosovës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)</w:t>
      </w:r>
      <w:r w:rsidR="000C6DC9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</w:p>
    <w:p w:rsidR="006F3191" w:rsidRPr="00CA1CEA" w:rsidRDefault="006F3191" w:rsidP="00E16C9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Koeficienti C – Përpjesëtimi i tregut</w:t>
      </w:r>
    </w:p>
    <w:p w:rsidR="000936E7" w:rsidRPr="00CA1CEA" w:rsidRDefault="006F3191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Duke e marrë parasyshë konkurencën në mes të operatorëve të ndryshëm kabllor, si dhe vendimin e disa parapaguesëve potencial për të mos bërë parapagim për asnjë shërbim kabllor, KPM-ja e ka parasyshë që ndonjë operator kabllor nuk do t’i tërheq të gjithë parapaguesit potencial që gjinden në secilën komunë në të cilën </w:t>
      </w:r>
      <w:r w:rsidR="00297EC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është i licencuar të operoj. Vec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kësaj, KPM-ja është në dijeni se si pasojë e dendësisë më të madhe në qytetet e mëdha, veçanërisht në Prishtinë, operatorët kabllor kanë shumë gjasa që të arrijnë një numër më të madh parapaguesish në këto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lastRenderedPageBreak/>
        <w:t>qytete. Prandaj, duke i marrë këto rrethana parasysh, KPM-ja pjeston numrin e parapaguesve potencial me katër (4) për Prishtinën, me pesë (5) në qytetet e tjerë kryesore të Kosovës, dhe me gjashtë (6) në të gjitha zonat tjera, në mënyrë që</w:t>
      </w:r>
      <w:r w:rsidR="00297EC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të përcaktoj një numër të arsye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shëm të parapaguesëve të mundshëm të cilët një operator kabllor i menaxhuar mirë duhet t’i ketë. </w:t>
      </w:r>
    </w:p>
    <w:p w:rsidR="006F3191" w:rsidRPr="00CA1CEA" w:rsidRDefault="006F3191" w:rsidP="00E16C9A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Koeficienti D – Çmimi mesatar i parapagimit</w:t>
      </w:r>
    </w:p>
    <w:p w:rsidR="006F3191" w:rsidRPr="00CA1CEA" w:rsidRDefault="006F3191" w:rsidP="00E16C9A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Çmimi tipik i parapagimit vetëm për kabllor në Kosovë është 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n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nj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mesatare prej 10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Euro në muaj, e cila e shumëzuar me numrin e pritshëm në më</w:t>
      </w:r>
      <w:r w:rsidR="00297EC4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nyrë të arsyeshme të parapagues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ve krijon të hyrat e pritshme të operatorit kabllor. </w:t>
      </w:r>
    </w:p>
    <w:p w:rsidR="006F3191" w:rsidRPr="00CA1CEA" w:rsidRDefault="00EB3274" w:rsidP="00E16C9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b/>
          <w:color w:val="000000" w:themeColor="text1"/>
          <w:sz w:val="24"/>
          <w:szCs w:val="24"/>
          <w:lang w:val="sq-AL"/>
        </w:rPr>
        <w:t>Koeficienti E – Përqindja e buxhetit të përgjithshëm</w:t>
      </w:r>
    </w:p>
    <w:p w:rsidR="000C6DC9" w:rsidRPr="00CA1CEA" w:rsidRDefault="00EB3274" w:rsidP="000C6DC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</w:t>
      </w:r>
      <w:r w:rsidR="006F319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huma e taksës për licencë prej 0.75% e të hyrave të pritshme vjetore të një operatori kabllor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nuk ka ndryshuar nga 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Rregullorja KKPM 2010/02</w:t>
      </w:r>
      <w:r w:rsidR="006F319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. </w:t>
      </w:r>
    </w:p>
    <w:p w:rsidR="00283658" w:rsidRPr="00CA1CEA" w:rsidRDefault="006F3191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D.m.th. në bazë të formulës </w:t>
      </w:r>
      <w:r w:rsidR="00CC307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(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A / B / C</w:t>
      </w:r>
      <w:r w:rsidR="00CC307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)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x D x E x 12 muaj janë nxjerrë shumat vjetore të taksave për licencë për Operatorët </w:t>
      </w:r>
      <w:r w:rsidR="000936E7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e rrjetit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varësisht nga shtrirja e rrjetit të tyre në Kosovë. </w:t>
      </w:r>
    </w:p>
    <w:tbl>
      <w:tblPr>
        <w:tblW w:w="9369" w:type="dxa"/>
        <w:tblInd w:w="93" w:type="dxa"/>
        <w:tblLook w:val="04A0"/>
      </w:tblPr>
      <w:tblGrid>
        <w:gridCol w:w="4207"/>
        <w:gridCol w:w="936"/>
        <w:gridCol w:w="719"/>
        <w:gridCol w:w="719"/>
        <w:gridCol w:w="693"/>
        <w:gridCol w:w="836"/>
        <w:gridCol w:w="1259"/>
      </w:tblGrid>
      <w:tr w:rsidR="000936E7" w:rsidRPr="00CA1CEA" w:rsidTr="00920174">
        <w:trPr>
          <w:trHeight w:val="644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Komunat   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Taksa Vjetore n</w:t>
            </w:r>
            <w:r w:rsidR="00472865"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Euro </w:t>
            </w:r>
          </w:p>
        </w:tc>
      </w:tr>
      <w:tr w:rsidR="000936E7" w:rsidRPr="00CA1CEA" w:rsidTr="00920174">
        <w:trPr>
          <w:trHeight w:val="221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Prishtina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205133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0.75%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7955</w:t>
            </w:r>
          </w:p>
        </w:tc>
      </w:tr>
      <w:tr w:rsidR="000936E7" w:rsidRPr="00CA1CEA" w:rsidTr="00920174">
        <w:trPr>
          <w:trHeight w:val="221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Prizreni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181756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0.75%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5640</w:t>
            </w:r>
          </w:p>
        </w:tc>
      </w:tr>
      <w:tr w:rsidR="000936E7" w:rsidRPr="00CA1CEA" w:rsidTr="00920174">
        <w:trPr>
          <w:trHeight w:val="7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36E7" w:rsidRPr="00CA1CEA" w:rsidRDefault="00920174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Ferizaj, Mitrovica, Peja, Gjilani, Gjakova, Podujeva Vushtrri, Gllogoc, Lipjan, Rahovec, Skenderaj, Suharekë, Malishevë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80000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97EC4"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0.75%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3400</w:t>
            </w:r>
          </w:p>
        </w:tc>
      </w:tr>
      <w:tr w:rsidR="000936E7" w:rsidRPr="00CA1CEA" w:rsidTr="00920174">
        <w:trPr>
          <w:trHeight w:val="211"/>
        </w:trPr>
        <w:tc>
          <w:tcPr>
            <w:tcW w:w="42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36E7" w:rsidRPr="00CA1CEA" w:rsidTr="00920174">
        <w:trPr>
          <w:trHeight w:val="211"/>
        </w:trPr>
        <w:tc>
          <w:tcPr>
            <w:tcW w:w="42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36E7" w:rsidRPr="00CA1CEA" w:rsidTr="00920174">
        <w:trPr>
          <w:trHeight w:val="50"/>
        </w:trPr>
        <w:tc>
          <w:tcPr>
            <w:tcW w:w="42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36E7" w:rsidRPr="00CA1CEA" w:rsidTr="00920174">
        <w:trPr>
          <w:trHeight w:val="54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36E7" w:rsidRPr="00CA1CEA" w:rsidRDefault="000936E7" w:rsidP="000936E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Komunat tjera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35000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0.75%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E7" w:rsidRPr="00CA1CEA" w:rsidRDefault="000936E7" w:rsidP="00093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1C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951</w:t>
            </w:r>
          </w:p>
        </w:tc>
      </w:tr>
    </w:tbl>
    <w:p w:rsidR="00677316" w:rsidRPr="00CA1CEA" w:rsidRDefault="00677316" w:rsidP="002603CE">
      <w:pPr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  <w:lang w:val="sq-AL"/>
        </w:rPr>
      </w:pPr>
    </w:p>
    <w:p w:rsidR="007A6862" w:rsidRPr="00CA1CEA" w:rsidRDefault="00F63888" w:rsidP="002603C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q-AL"/>
        </w:rPr>
      </w:pPr>
      <w:r w:rsidRPr="00CA1CEA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q-AL"/>
        </w:rPr>
        <w:t xml:space="preserve">SHËRBIMET MEDIALE AUDIOVIZUALE PËRMES OPERATORËVE TË RRJETIT (të quajtura më parë Ofrues të Shërbimeve Programore) </w:t>
      </w:r>
    </w:p>
    <w:p w:rsidR="007A6862" w:rsidRPr="00CA1CEA" w:rsidRDefault="007A6862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KPM, ka p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rcaktuar p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r 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Sh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rbimet Mediale Audiovizuale p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rmes operator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ve t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rrjetit</w:t>
      </w:r>
      <w:r w:rsidR="00CC307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nj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shum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ekuivalente me sh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rbimet mediale audio-vizuale (radio / TV regjionale) p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 arsye se shtrirja e tyre n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operator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kabllor u mund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son nj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mbulim t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raf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rt me nj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Sh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rbim Medial Audiovizual 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tok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sor me mbulim regjional.</w:t>
      </w:r>
    </w:p>
    <w:p w:rsidR="007A6862" w:rsidRPr="00CA1CEA" w:rsidRDefault="007A6862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Prandaj, shuma e taks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 p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r 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Sh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rbimet Mediale Audiovizuale p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rmes operator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ve t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rrjetit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sht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p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rcaktuar si n</w:t>
      </w:r>
      <w:r w:rsidR="00F052EC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vijim:  </w:t>
      </w:r>
    </w:p>
    <w:p w:rsidR="006F3191" w:rsidRPr="00CA1CEA" w:rsidRDefault="007A6862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lastRenderedPageBreak/>
        <w:t>-</w:t>
      </w:r>
      <w:r w:rsidR="006F319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Taksa vjetore për 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Sh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rbimet Mediale Audiovizuale p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rmes operator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ve t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rrjetit</w:t>
      </w:r>
      <w:r w:rsidR="00CC307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6F319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që ofrojnë shërbime televizive audio</w:t>
      </w:r>
      <w:r w:rsidR="00F363B3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-</w:t>
      </w:r>
      <w:r w:rsidR="00CC307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viz</w:t>
      </w:r>
      <w:r w:rsidR="006F319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uale do të jetë ekuivalente me taksën vjetore të aplikuar për 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Sh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rbimet Mediale Audiovizuale </w:t>
      </w:r>
      <w:r w:rsidR="006F319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tokësore – TV, që i përkasin kategorisë me mbulim regjional (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4032</w:t>
      </w:r>
      <w:r w:rsidR="00CC307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6F319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euro</w:t>
      </w:r>
      <w:r w:rsidR="00CC307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taksë mujore</w:t>
      </w:r>
      <w:r w:rsidR="006F319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); dhe</w:t>
      </w:r>
    </w:p>
    <w:p w:rsidR="00271EF0" w:rsidRPr="00CA1CEA" w:rsidRDefault="007A6862" w:rsidP="00E16C9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-</w:t>
      </w:r>
      <w:r w:rsidR="006F319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Taksa vjetore për 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Sh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rbimet Mediale Audiovizuale p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rmes operator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ve t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rrjetit</w:t>
      </w:r>
      <w:r w:rsidR="006B077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6F319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që ofrojnë vetëm audio shërbime (radio stacione) do të jetë ekuivalente me taksën vjetore të aplikuar për 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Sh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ë</w:t>
      </w:r>
      <w:r w:rsidR="00455ADE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rbimet Mediale Audiovizuale </w:t>
      </w:r>
      <w:r w:rsidR="006F319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tokësore - radio, që i përkasin kategorisë me mbulim regjional (</w:t>
      </w:r>
      <w:r w:rsidR="00472865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3024</w:t>
      </w:r>
      <w:r w:rsidR="00CC307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euro taksë vjetore</w:t>
      </w:r>
      <w:r w:rsidR="006F3191" w:rsidRPr="00CA1CEA">
        <w:rPr>
          <w:rFonts w:ascii="Times New Roman" w:hAnsi="Times New Roman"/>
          <w:color w:val="000000" w:themeColor="text1"/>
          <w:sz w:val="24"/>
          <w:szCs w:val="24"/>
          <w:lang w:val="sq-AL"/>
        </w:rPr>
        <w:t>).</w:t>
      </w:r>
    </w:p>
    <w:sectPr w:rsidR="00271EF0" w:rsidRPr="00CA1CEA" w:rsidSect="00120B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46" w:rsidRDefault="00841146" w:rsidP="00613730">
      <w:pPr>
        <w:spacing w:after="0" w:line="240" w:lineRule="auto"/>
      </w:pPr>
      <w:r>
        <w:separator/>
      </w:r>
    </w:p>
  </w:endnote>
  <w:endnote w:type="continuationSeparator" w:id="0">
    <w:p w:rsidR="00841146" w:rsidRDefault="00841146" w:rsidP="0061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117917"/>
      <w:docPartObj>
        <w:docPartGallery w:val="Page Numbers (Bottom of Page)"/>
        <w:docPartUnique/>
      </w:docPartObj>
    </w:sdtPr>
    <w:sdtContent>
      <w:p w:rsidR="00606EF4" w:rsidRDefault="00A55D49">
        <w:pPr>
          <w:pStyle w:val="Footer"/>
          <w:jc w:val="center"/>
        </w:pPr>
        <w:fldSimple w:instr=" PAGE   \* MERGEFORMAT ">
          <w:r w:rsidR="0065763B">
            <w:rPr>
              <w:noProof/>
            </w:rPr>
            <w:t>1</w:t>
          </w:r>
        </w:fldSimple>
      </w:p>
    </w:sdtContent>
  </w:sdt>
  <w:p w:rsidR="00606EF4" w:rsidRDefault="00606E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46" w:rsidRDefault="00841146" w:rsidP="00613730">
      <w:pPr>
        <w:spacing w:after="0" w:line="240" w:lineRule="auto"/>
      </w:pPr>
      <w:r>
        <w:separator/>
      </w:r>
    </w:p>
  </w:footnote>
  <w:footnote w:type="continuationSeparator" w:id="0">
    <w:p w:rsidR="00841146" w:rsidRDefault="00841146" w:rsidP="0061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30" w:rsidRDefault="00A55D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53807" o:spid="_x0000_s2050" type="#_x0000_t136" style="position:absolute;margin-left:0;margin-top:0;width:543.35pt;height:116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MO SQARUES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30" w:rsidRDefault="00A55D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53808" o:spid="_x0000_s2051" type="#_x0000_t136" style="position:absolute;margin-left:0;margin-top:0;width:543.35pt;height:116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MO SQARUES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30" w:rsidRDefault="00A55D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53806" o:spid="_x0000_s2049" type="#_x0000_t136" style="position:absolute;margin-left:0;margin-top:0;width:543.35pt;height:116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MO SQARUES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164A"/>
    <w:multiLevelType w:val="hybridMultilevel"/>
    <w:tmpl w:val="1CEA7D86"/>
    <w:lvl w:ilvl="0" w:tplc="F684F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5F5A82"/>
    <w:multiLevelType w:val="hybridMultilevel"/>
    <w:tmpl w:val="985A2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1D1B"/>
    <w:rsid w:val="00000C52"/>
    <w:rsid w:val="00065333"/>
    <w:rsid w:val="000803BF"/>
    <w:rsid w:val="000936E7"/>
    <w:rsid w:val="000B0873"/>
    <w:rsid w:val="000B2E2E"/>
    <w:rsid w:val="000B3889"/>
    <w:rsid w:val="000C6DC9"/>
    <w:rsid w:val="000D54BC"/>
    <w:rsid w:val="00120BCA"/>
    <w:rsid w:val="001247C8"/>
    <w:rsid w:val="0014036A"/>
    <w:rsid w:val="00181D86"/>
    <w:rsid w:val="00204166"/>
    <w:rsid w:val="002603CE"/>
    <w:rsid w:val="00271EF0"/>
    <w:rsid w:val="0028155F"/>
    <w:rsid w:val="00283658"/>
    <w:rsid w:val="00297EC4"/>
    <w:rsid w:val="002A4E6B"/>
    <w:rsid w:val="002D1EED"/>
    <w:rsid w:val="002F302C"/>
    <w:rsid w:val="003071AD"/>
    <w:rsid w:val="0037321E"/>
    <w:rsid w:val="00391A95"/>
    <w:rsid w:val="00393C9B"/>
    <w:rsid w:val="003B31A1"/>
    <w:rsid w:val="003D1A07"/>
    <w:rsid w:val="003D7487"/>
    <w:rsid w:val="00401C5F"/>
    <w:rsid w:val="00422074"/>
    <w:rsid w:val="00426A3D"/>
    <w:rsid w:val="00455ADE"/>
    <w:rsid w:val="00472865"/>
    <w:rsid w:val="00477A34"/>
    <w:rsid w:val="00493556"/>
    <w:rsid w:val="004A2585"/>
    <w:rsid w:val="004D5087"/>
    <w:rsid w:val="004F652E"/>
    <w:rsid w:val="00505608"/>
    <w:rsid w:val="0050588F"/>
    <w:rsid w:val="0052691B"/>
    <w:rsid w:val="00535DE0"/>
    <w:rsid w:val="0054230B"/>
    <w:rsid w:val="00543FE8"/>
    <w:rsid w:val="005A601D"/>
    <w:rsid w:val="005E314F"/>
    <w:rsid w:val="005F3274"/>
    <w:rsid w:val="00606EF4"/>
    <w:rsid w:val="00613730"/>
    <w:rsid w:val="0065763B"/>
    <w:rsid w:val="00677316"/>
    <w:rsid w:val="006B0776"/>
    <w:rsid w:val="006B4655"/>
    <w:rsid w:val="006D643E"/>
    <w:rsid w:val="006E1F90"/>
    <w:rsid w:val="006F3191"/>
    <w:rsid w:val="0070147D"/>
    <w:rsid w:val="0073639F"/>
    <w:rsid w:val="00762BF3"/>
    <w:rsid w:val="00771D1B"/>
    <w:rsid w:val="007A4B32"/>
    <w:rsid w:val="007A6862"/>
    <w:rsid w:val="00841146"/>
    <w:rsid w:val="00844402"/>
    <w:rsid w:val="00845FAF"/>
    <w:rsid w:val="00895D48"/>
    <w:rsid w:val="00895ED4"/>
    <w:rsid w:val="008B31B4"/>
    <w:rsid w:val="008C6423"/>
    <w:rsid w:val="008D7E28"/>
    <w:rsid w:val="008E7B8F"/>
    <w:rsid w:val="00920174"/>
    <w:rsid w:val="00923711"/>
    <w:rsid w:val="009258C2"/>
    <w:rsid w:val="00941ACC"/>
    <w:rsid w:val="00952E38"/>
    <w:rsid w:val="00982178"/>
    <w:rsid w:val="009B0BDC"/>
    <w:rsid w:val="009B6E29"/>
    <w:rsid w:val="009D4697"/>
    <w:rsid w:val="009F7246"/>
    <w:rsid w:val="009F7D6C"/>
    <w:rsid w:val="00A0333D"/>
    <w:rsid w:val="00A03FEC"/>
    <w:rsid w:val="00A048E1"/>
    <w:rsid w:val="00A337DE"/>
    <w:rsid w:val="00A55D49"/>
    <w:rsid w:val="00A61A10"/>
    <w:rsid w:val="00AE2E81"/>
    <w:rsid w:val="00AF4C67"/>
    <w:rsid w:val="00B004E6"/>
    <w:rsid w:val="00B2121F"/>
    <w:rsid w:val="00B35AEE"/>
    <w:rsid w:val="00B52680"/>
    <w:rsid w:val="00BB13B4"/>
    <w:rsid w:val="00BE262A"/>
    <w:rsid w:val="00BE3526"/>
    <w:rsid w:val="00C014E0"/>
    <w:rsid w:val="00C102CC"/>
    <w:rsid w:val="00C31723"/>
    <w:rsid w:val="00C902ED"/>
    <w:rsid w:val="00C90C42"/>
    <w:rsid w:val="00CA1CEA"/>
    <w:rsid w:val="00CA5029"/>
    <w:rsid w:val="00CA6E12"/>
    <w:rsid w:val="00CC3071"/>
    <w:rsid w:val="00CC4861"/>
    <w:rsid w:val="00CD0783"/>
    <w:rsid w:val="00CF73B4"/>
    <w:rsid w:val="00D1512E"/>
    <w:rsid w:val="00D30001"/>
    <w:rsid w:val="00D50479"/>
    <w:rsid w:val="00D84B24"/>
    <w:rsid w:val="00D86F82"/>
    <w:rsid w:val="00DA5475"/>
    <w:rsid w:val="00DB227D"/>
    <w:rsid w:val="00DB7E37"/>
    <w:rsid w:val="00DE7637"/>
    <w:rsid w:val="00DF7805"/>
    <w:rsid w:val="00E16C9A"/>
    <w:rsid w:val="00E20A5B"/>
    <w:rsid w:val="00E37176"/>
    <w:rsid w:val="00E5787C"/>
    <w:rsid w:val="00E72EAD"/>
    <w:rsid w:val="00E777D5"/>
    <w:rsid w:val="00EA242B"/>
    <w:rsid w:val="00EB3274"/>
    <w:rsid w:val="00EE5184"/>
    <w:rsid w:val="00EF0C28"/>
    <w:rsid w:val="00F052EC"/>
    <w:rsid w:val="00F13525"/>
    <w:rsid w:val="00F224A9"/>
    <w:rsid w:val="00F33A89"/>
    <w:rsid w:val="00F363B3"/>
    <w:rsid w:val="00F63888"/>
    <w:rsid w:val="00F70127"/>
    <w:rsid w:val="00FA1C47"/>
    <w:rsid w:val="00FA3DEE"/>
    <w:rsid w:val="00FD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F31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191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A34"/>
    <w:rPr>
      <w:rFonts w:ascii="Tahoma" w:hAnsi="Tahoma" w:cs="Tahoma"/>
      <w:sz w:val="16"/>
      <w:szCs w:val="16"/>
    </w:rPr>
  </w:style>
  <w:style w:type="paragraph" w:customStyle="1" w:styleId="t-98-2">
    <w:name w:val="t-98-2"/>
    <w:basedOn w:val="Normal"/>
    <w:rsid w:val="00701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613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7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3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3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sqaruese</vt:lpstr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sqaruese</dc:title>
  <dc:creator>KPM</dc:creator>
  <cp:lastModifiedBy>fcocaj</cp:lastModifiedBy>
  <cp:revision>2</cp:revision>
  <dcterms:created xsi:type="dcterms:W3CDTF">2013-12-06T15:55:00Z</dcterms:created>
  <dcterms:modified xsi:type="dcterms:W3CDTF">2013-12-06T15:55:00Z</dcterms:modified>
</cp:coreProperties>
</file>