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drawing>
          <wp:inline distT="0" distB="0" distL="0" distR="0">
            <wp:extent cx="5257800" cy="1314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57800" cy="1314450"/>
                    </a:xfrm>
                    <a:prstGeom prst="rect">
                      <a:avLst/>
                    </a:prstGeom>
                    <a:noFill/>
                    <a:ln w="9525">
                      <a:noFill/>
                      <a:miter lim="800000"/>
                      <a:headEnd/>
                      <a:tailEnd/>
                    </a:ln>
                  </pic:spPr>
                </pic:pic>
              </a:graphicData>
            </a:graphic>
          </wp:inline>
        </w:drawing>
      </w:r>
    </w:p>
    <w:p w:rsidR="00C9136A" w:rsidRPr="00C9136A" w:rsidRDefault="00C9136A" w:rsidP="00C9136A">
      <w:pPr>
        <w:jc w:val="both"/>
        <w:rPr>
          <w:rFonts w:ascii="Times New Roman" w:hAnsi="Times New Roman" w:cs="Times New Roman"/>
          <w:sz w:val="24"/>
          <w:szCs w:val="24"/>
          <w:lang/>
        </w:rPr>
      </w:pPr>
      <w:r>
        <w:rPr>
          <w:rFonts w:ascii="Times New Roman" w:hAnsi="Times New Roman" w:cs="Times New Roman"/>
          <w:sz w:val="24"/>
          <w:szCs w:val="24"/>
          <w:lang/>
        </w:rPr>
        <w:t>CIMC</w:t>
      </w:r>
      <w:r w:rsidRPr="00C9136A">
        <w:rPr>
          <w:rFonts w:ascii="Times New Roman" w:hAnsi="Times New Roman" w:cs="Times New Roman"/>
          <w:sz w:val="24"/>
          <w:szCs w:val="24"/>
          <w:lang/>
        </w:rPr>
        <w:t>-2010/02</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REGULATION ON THE LEVEL AND WAYS OF PAYMENT OF TAX LICENSE FOR AUDIO-VISUAL MEDIA SERVICES</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PREAMBLE</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Pursuant to Article 16.1 and Article 16.2 of the Law no. 02 / L-15 on Independent Media and Broadcasting, the Council of the Independent Media Commission approves this Regulation.</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Section 1</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The purpose of Regulation</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This regulation will determine:</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1.1 Level of a single fee for registration in connection with applications for licenses to broadcast</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 xml:space="preserve">       </w:t>
      </w:r>
      <w:proofErr w:type="gramStart"/>
      <w:r w:rsidRPr="00C9136A">
        <w:rPr>
          <w:rFonts w:ascii="Times New Roman" w:hAnsi="Times New Roman" w:cs="Times New Roman"/>
          <w:sz w:val="24"/>
          <w:szCs w:val="24"/>
          <w:lang/>
        </w:rPr>
        <w:t>for</w:t>
      </w:r>
      <w:proofErr w:type="gramEnd"/>
      <w:r w:rsidRPr="00C9136A">
        <w:rPr>
          <w:rFonts w:ascii="Times New Roman" w:hAnsi="Times New Roman" w:cs="Times New Roman"/>
          <w:sz w:val="24"/>
          <w:szCs w:val="24"/>
          <w:lang/>
        </w:rPr>
        <w:t xml:space="preserve"> audio-visual media services.</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1.2 Level of a single fee for activities related to registration of applicants for issuance,</w:t>
      </w:r>
    </w:p>
    <w:p w:rsidR="00C9136A" w:rsidRPr="00C9136A" w:rsidRDefault="00C9136A" w:rsidP="00C9136A">
      <w:pPr>
        <w:jc w:val="both"/>
        <w:rPr>
          <w:rFonts w:ascii="Times New Roman" w:hAnsi="Times New Roman" w:cs="Times New Roman"/>
          <w:sz w:val="24"/>
          <w:szCs w:val="24"/>
          <w:lang/>
        </w:rPr>
      </w:pPr>
      <w:proofErr w:type="gramStart"/>
      <w:r w:rsidRPr="00C9136A">
        <w:rPr>
          <w:rFonts w:ascii="Times New Roman" w:hAnsi="Times New Roman" w:cs="Times New Roman"/>
          <w:sz w:val="24"/>
          <w:szCs w:val="24"/>
          <w:lang/>
        </w:rPr>
        <w:t>change</w:t>
      </w:r>
      <w:proofErr w:type="gramEnd"/>
      <w:r w:rsidRPr="00C9136A">
        <w:rPr>
          <w:rFonts w:ascii="Times New Roman" w:hAnsi="Times New Roman" w:cs="Times New Roman"/>
          <w:sz w:val="24"/>
          <w:szCs w:val="24"/>
          <w:lang/>
        </w:rPr>
        <w:t xml:space="preserve"> or renewal of a license to broadcast the audio-visual media services.</w:t>
      </w:r>
    </w:p>
    <w:p w:rsidR="00C9136A" w:rsidRPr="00C9136A" w:rsidRDefault="00C9136A" w:rsidP="00C9136A">
      <w:pPr>
        <w:jc w:val="both"/>
        <w:rPr>
          <w:rFonts w:ascii="Times New Roman" w:hAnsi="Times New Roman" w:cs="Times New Roman"/>
          <w:sz w:val="24"/>
          <w:szCs w:val="24"/>
          <w:lang/>
        </w:rPr>
      </w:pPr>
      <w:proofErr w:type="gramStart"/>
      <w:r w:rsidRPr="00C9136A">
        <w:rPr>
          <w:rFonts w:ascii="Times New Roman" w:hAnsi="Times New Roman" w:cs="Times New Roman"/>
          <w:sz w:val="24"/>
          <w:szCs w:val="24"/>
          <w:lang/>
        </w:rPr>
        <w:t>Level 1.3, the method of determining the payment of the annual license fee of audio-visual media services.</w:t>
      </w:r>
      <w:proofErr w:type="gramEnd"/>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Section 2</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Level of a single fee for registration of applications</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 xml:space="preserve">2.1 single </w:t>
      </w:r>
      <w:proofErr w:type="gramStart"/>
      <w:r w:rsidRPr="00C9136A">
        <w:rPr>
          <w:rFonts w:ascii="Times New Roman" w:hAnsi="Times New Roman" w:cs="Times New Roman"/>
          <w:sz w:val="24"/>
          <w:szCs w:val="24"/>
          <w:lang/>
        </w:rPr>
        <w:t>fee</w:t>
      </w:r>
      <w:proofErr w:type="gramEnd"/>
      <w:r w:rsidRPr="00C9136A">
        <w:rPr>
          <w:rFonts w:ascii="Times New Roman" w:hAnsi="Times New Roman" w:cs="Times New Roman"/>
          <w:sz w:val="24"/>
          <w:szCs w:val="24"/>
          <w:lang/>
        </w:rPr>
        <w:t xml:space="preserve"> will be charged for the registration of applications, defined by</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 xml:space="preserve">        </w:t>
      </w:r>
      <w:proofErr w:type="gramStart"/>
      <w:r w:rsidRPr="00C9136A">
        <w:rPr>
          <w:rFonts w:ascii="Times New Roman" w:hAnsi="Times New Roman" w:cs="Times New Roman"/>
          <w:sz w:val="24"/>
          <w:szCs w:val="24"/>
          <w:lang/>
        </w:rPr>
        <w:t>this</w:t>
      </w:r>
      <w:proofErr w:type="gramEnd"/>
      <w:r w:rsidRPr="00C9136A">
        <w:rPr>
          <w:rFonts w:ascii="Times New Roman" w:hAnsi="Times New Roman" w:cs="Times New Roman"/>
          <w:sz w:val="24"/>
          <w:szCs w:val="24"/>
          <w:lang/>
        </w:rPr>
        <w:t xml:space="preserve"> regulation.</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 xml:space="preserve"> 2.2 Applicants for a license for audio-visual media services have to pay a tax</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 xml:space="preserve">      </w:t>
      </w:r>
      <w:proofErr w:type="gramStart"/>
      <w:r w:rsidRPr="00C9136A">
        <w:rPr>
          <w:rFonts w:ascii="Times New Roman" w:hAnsi="Times New Roman" w:cs="Times New Roman"/>
          <w:sz w:val="24"/>
          <w:szCs w:val="24"/>
          <w:lang/>
        </w:rPr>
        <w:t>administrative</w:t>
      </w:r>
      <w:proofErr w:type="gramEnd"/>
      <w:r w:rsidRPr="00C9136A">
        <w:rPr>
          <w:rFonts w:ascii="Times New Roman" w:hAnsi="Times New Roman" w:cs="Times New Roman"/>
          <w:sz w:val="24"/>
          <w:szCs w:val="24"/>
          <w:lang/>
        </w:rPr>
        <w:t xml:space="preserve"> lump-sum, in the amount of one hundred (100) euro bank account of the CCM</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 xml:space="preserve">       </w:t>
      </w:r>
      <w:proofErr w:type="gramStart"/>
      <w:r w:rsidRPr="00C9136A">
        <w:rPr>
          <w:rFonts w:ascii="Times New Roman" w:hAnsi="Times New Roman" w:cs="Times New Roman"/>
          <w:sz w:val="24"/>
          <w:szCs w:val="24"/>
          <w:lang/>
        </w:rPr>
        <w:t>on</w:t>
      </w:r>
      <w:proofErr w:type="gramEnd"/>
      <w:r w:rsidRPr="00C9136A">
        <w:rPr>
          <w:rFonts w:ascii="Times New Roman" w:hAnsi="Times New Roman" w:cs="Times New Roman"/>
          <w:sz w:val="24"/>
          <w:szCs w:val="24"/>
          <w:lang/>
        </w:rPr>
        <w:t xml:space="preserve"> the occasion of submission of application.</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Section 3</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Evaluation Criteria Annual Fee</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3.1 Evaluation Criteria annual fee for terrestrial broadcasters defined in</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 xml:space="preserve">      </w:t>
      </w:r>
      <w:proofErr w:type="gramStart"/>
      <w:r w:rsidRPr="00C9136A">
        <w:rPr>
          <w:rFonts w:ascii="Times New Roman" w:hAnsi="Times New Roman" w:cs="Times New Roman"/>
          <w:sz w:val="24"/>
          <w:szCs w:val="24"/>
          <w:lang/>
        </w:rPr>
        <w:t>basis</w:t>
      </w:r>
      <w:proofErr w:type="gramEnd"/>
      <w:r w:rsidRPr="00C9136A">
        <w:rPr>
          <w:rFonts w:ascii="Times New Roman" w:hAnsi="Times New Roman" w:cs="Times New Roman"/>
          <w:sz w:val="24"/>
          <w:szCs w:val="24"/>
          <w:lang/>
        </w:rPr>
        <w:t xml:space="preserve"> of:</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a. Express basic value (A) - calculated on the basis of the total annual budget divided by the number of entities licensed terrestrial broadcasting, the number of days of the year and 24 hours;</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b. The average number of residents covered (B);</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c. Type t terrestrial broadcaster (C) - Radio and TV and</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d. Category terrestrial broadcaster (D).</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3.2 Evaluation Criteria annual fee for cable operators are defined on the basis of:</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 xml:space="preserve">      a. Number of inhabitants (A);</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 xml:space="preserve">      b. The number of potential subscribers (B);</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 xml:space="preserve">      c. The proportion of the market (C);</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 xml:space="preserve">      d. The average price of subscription (D) and</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 xml:space="preserve">      e. Percentage of total budget (E).</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3.3 program service providers value of the annual fee is set equal to</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 xml:space="preserve">       </w:t>
      </w:r>
      <w:proofErr w:type="gramStart"/>
      <w:r w:rsidRPr="00C9136A">
        <w:rPr>
          <w:rFonts w:ascii="Times New Roman" w:hAnsi="Times New Roman" w:cs="Times New Roman"/>
          <w:sz w:val="24"/>
          <w:szCs w:val="24"/>
          <w:lang/>
        </w:rPr>
        <w:t>terrestrial</w:t>
      </w:r>
      <w:proofErr w:type="gramEnd"/>
      <w:r w:rsidRPr="00C9136A">
        <w:rPr>
          <w:rFonts w:ascii="Times New Roman" w:hAnsi="Times New Roman" w:cs="Times New Roman"/>
          <w:sz w:val="24"/>
          <w:szCs w:val="24"/>
          <w:lang/>
        </w:rPr>
        <w:t xml:space="preserve"> broadcasters with regional coverage.</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Article 4</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Annual Fee License Fee</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4.1 BROADCASTERS LAND</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The level of the annual license fee for terrestrial broadcasters is defined in the following table:</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4.2 CABLE OPERATORS</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4.2.1 The amount of the annual license fee for cable operators will be calculated for each</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 xml:space="preserve">         </w:t>
      </w:r>
      <w:proofErr w:type="gramStart"/>
      <w:r w:rsidRPr="00C9136A">
        <w:rPr>
          <w:rFonts w:ascii="Times New Roman" w:hAnsi="Times New Roman" w:cs="Times New Roman"/>
          <w:sz w:val="24"/>
          <w:szCs w:val="24"/>
          <w:lang/>
        </w:rPr>
        <w:t>municipality</w:t>
      </w:r>
      <w:proofErr w:type="gramEnd"/>
      <w:r w:rsidRPr="00C9136A">
        <w:rPr>
          <w:rFonts w:ascii="Times New Roman" w:hAnsi="Times New Roman" w:cs="Times New Roman"/>
          <w:sz w:val="24"/>
          <w:szCs w:val="24"/>
          <w:lang/>
        </w:rPr>
        <w:t xml:space="preserve"> and cadastral area in which the cable operator has extended its network</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 xml:space="preserve">         </w:t>
      </w:r>
      <w:proofErr w:type="gramStart"/>
      <w:r w:rsidRPr="00C9136A">
        <w:rPr>
          <w:rFonts w:ascii="Times New Roman" w:hAnsi="Times New Roman" w:cs="Times New Roman"/>
          <w:sz w:val="24"/>
          <w:szCs w:val="24"/>
          <w:lang/>
        </w:rPr>
        <w:t>cable</w:t>
      </w:r>
      <w:proofErr w:type="gramEnd"/>
      <w:r w:rsidRPr="00C9136A">
        <w:rPr>
          <w:rFonts w:ascii="Times New Roman" w:hAnsi="Times New Roman" w:cs="Times New Roman"/>
          <w:sz w:val="24"/>
          <w:szCs w:val="24"/>
          <w:lang/>
        </w:rPr>
        <w:t>.</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lastRenderedPageBreak/>
        <w:t>The level of the annual license fee for cable operators is defined as the following table:</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4.3</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Service Providers Program</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 xml:space="preserve">4.3.1 The annual fee for PRB to offer television service audio-visual will be equivalent to the annual tax applied to terrestrial broadcasters -TV that belong to the category with regional coverage (1,890.00 </w:t>
      </w:r>
      <w:proofErr w:type="spellStart"/>
      <w:r w:rsidRPr="00C9136A">
        <w:rPr>
          <w:rFonts w:ascii="Times New Roman" w:hAnsi="Times New Roman" w:cs="Times New Roman"/>
          <w:sz w:val="24"/>
          <w:szCs w:val="24"/>
          <w:lang/>
        </w:rPr>
        <w:t>euros</w:t>
      </w:r>
      <w:proofErr w:type="spellEnd"/>
      <w:r w:rsidRPr="00C9136A">
        <w:rPr>
          <w:rFonts w:ascii="Times New Roman" w:hAnsi="Times New Roman" w:cs="Times New Roman"/>
          <w:sz w:val="24"/>
          <w:szCs w:val="24"/>
          <w:lang/>
        </w:rPr>
        <w:t>); and</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 xml:space="preserve">4.3.2 The annual fee for PRB to provide only audio services (radio stations) will be equivalent to the annual tax applied to </w:t>
      </w:r>
      <w:proofErr w:type="spellStart"/>
      <w:r w:rsidRPr="00C9136A">
        <w:rPr>
          <w:rFonts w:ascii="Times New Roman" w:hAnsi="Times New Roman" w:cs="Times New Roman"/>
          <w:sz w:val="24"/>
          <w:szCs w:val="24"/>
          <w:lang/>
        </w:rPr>
        <w:t>tokësore</w:t>
      </w:r>
      <w:proofErr w:type="spellEnd"/>
      <w:r w:rsidRPr="00C9136A">
        <w:rPr>
          <w:rFonts w:ascii="Times New Roman" w:hAnsi="Times New Roman" w:cs="Times New Roman"/>
          <w:sz w:val="24"/>
          <w:szCs w:val="24"/>
          <w:lang/>
        </w:rPr>
        <w:t xml:space="preserve">- radio broadcasters, who belong to the category with regional coverage (1,260.00 </w:t>
      </w:r>
      <w:proofErr w:type="spellStart"/>
      <w:r w:rsidRPr="00C9136A">
        <w:rPr>
          <w:rFonts w:ascii="Times New Roman" w:hAnsi="Times New Roman" w:cs="Times New Roman"/>
          <w:sz w:val="24"/>
          <w:szCs w:val="24"/>
          <w:lang/>
        </w:rPr>
        <w:t>euros</w:t>
      </w:r>
      <w:proofErr w:type="spellEnd"/>
      <w:r w:rsidRPr="00C9136A">
        <w:rPr>
          <w:rFonts w:ascii="Times New Roman" w:hAnsi="Times New Roman" w:cs="Times New Roman"/>
          <w:sz w:val="24"/>
          <w:szCs w:val="24"/>
          <w:lang/>
        </w:rPr>
        <w:t>).</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Section 5</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Payment of annual fee</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5.1 Annual license fee for audio-visual media services will be posted in its entirety on an annual basis, to the bank account of the Independent Media Commission, in the first month of the year for.</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5.2 In the case of licensing of providers of audiovisual media services, the first annual fee for a license shall be paid not later than 14 days from receipt of the decision on licensing.</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5.3 In the event that service providers audio-visual media are not informing the Independent Media Commission that it does not plan to broadcast further, financial responsibilities undertaken by the license will be valid from receipt of the written notice.</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 xml:space="preserve">5.4 If </w:t>
      </w:r>
      <w:proofErr w:type="spellStart"/>
      <w:r w:rsidRPr="00C9136A">
        <w:rPr>
          <w:rFonts w:ascii="Times New Roman" w:hAnsi="Times New Roman" w:cs="Times New Roman"/>
          <w:sz w:val="24"/>
          <w:szCs w:val="24"/>
          <w:lang/>
        </w:rPr>
        <w:t>mbajtsi</w:t>
      </w:r>
      <w:proofErr w:type="spellEnd"/>
      <w:r w:rsidRPr="00C9136A">
        <w:rPr>
          <w:rFonts w:ascii="Times New Roman" w:hAnsi="Times New Roman" w:cs="Times New Roman"/>
          <w:sz w:val="24"/>
          <w:szCs w:val="24"/>
          <w:lang/>
        </w:rPr>
        <w:t xml:space="preserve"> stops broadcasting license before the expiration of which time the tax was paid, a portion of the amount of tax that refers to the time left will not return them.</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5.5 If it is determined that the licensee (Radio, TV and Cable Operator) has broadcast outside the coverage area specified in his license, IMC retro-actively may define the licensee (double) amount of the fee he paid his area unlicensed coverage area if that would be determined in its license. This payment is in addition to any sanctions that the IMC may impose.</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lastRenderedPageBreak/>
        <w:t>5.6 In the event of late payment of tax, referred to in paragraph 5.1 and 5.3 of this Article, a person with a license issued for broadcasting of audio-visual media service will pay interest for late payment of tax, in accordance with law Tax Administration of Kosovo (TAK).</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 xml:space="preserve">5.7 Failure to pay the license </w:t>
      </w:r>
      <w:proofErr w:type="gramStart"/>
      <w:r w:rsidRPr="00C9136A">
        <w:rPr>
          <w:rFonts w:ascii="Times New Roman" w:hAnsi="Times New Roman" w:cs="Times New Roman"/>
          <w:sz w:val="24"/>
          <w:szCs w:val="24"/>
          <w:lang/>
        </w:rPr>
        <w:t>fee,</w:t>
      </w:r>
      <w:proofErr w:type="gramEnd"/>
      <w:r w:rsidRPr="00C9136A">
        <w:rPr>
          <w:rFonts w:ascii="Times New Roman" w:hAnsi="Times New Roman" w:cs="Times New Roman"/>
          <w:sz w:val="24"/>
          <w:szCs w:val="24"/>
          <w:lang/>
        </w:rPr>
        <w:t xml:space="preserve"> will result in sanctioning the broadcaster, in accordance with the Law and Regulations of the IMC. Sanctions may result in the revocation of the license.</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Article 6</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The validity of Regulation</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6.1 This method of determining the fee for a license shall be valid only for the period until the providers of audiovisual media services operating under the license of IMC.</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6.2 According to the IMC Law, Article 16.2 of the Office of the Chief Executive's review and may make changes every two (2) years in the manner of determining the licenses.</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Article 7</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Transitional Provisions</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7.1 With the entry into force of this Regulation repealed decisions CIMC-2008/01 and CIMC-2007/05.</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Article 8</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Entry into force</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This Regulation shall enter into force on 1 January 2011.</w:t>
      </w:r>
    </w:p>
    <w:p w:rsidR="00C9136A" w:rsidRPr="00C9136A" w:rsidRDefault="00C9136A" w:rsidP="00C9136A">
      <w:pPr>
        <w:jc w:val="both"/>
        <w:rPr>
          <w:rFonts w:ascii="Times New Roman" w:hAnsi="Times New Roman" w:cs="Times New Roman"/>
          <w:sz w:val="24"/>
          <w:szCs w:val="24"/>
          <w:lang/>
        </w:rPr>
      </w:pPr>
    </w:p>
    <w:p w:rsidR="00C9136A" w:rsidRPr="00C9136A" w:rsidRDefault="00C9136A" w:rsidP="00C9136A">
      <w:pPr>
        <w:jc w:val="both"/>
        <w:rPr>
          <w:rFonts w:ascii="Times New Roman" w:hAnsi="Times New Roman" w:cs="Times New Roman"/>
          <w:sz w:val="24"/>
          <w:szCs w:val="24"/>
          <w:lang/>
        </w:rPr>
      </w:pPr>
      <w:proofErr w:type="spellStart"/>
      <w:r w:rsidRPr="00C9136A">
        <w:rPr>
          <w:rFonts w:ascii="Times New Roman" w:hAnsi="Times New Roman" w:cs="Times New Roman"/>
          <w:sz w:val="24"/>
          <w:szCs w:val="24"/>
          <w:lang/>
        </w:rPr>
        <w:t>Filloreta</w:t>
      </w:r>
      <w:proofErr w:type="spellEnd"/>
      <w:r w:rsidRPr="00C9136A">
        <w:rPr>
          <w:rFonts w:ascii="Times New Roman" w:hAnsi="Times New Roman" w:cs="Times New Roman"/>
          <w:sz w:val="24"/>
          <w:szCs w:val="24"/>
          <w:lang/>
        </w:rPr>
        <w:t xml:space="preserve"> </w:t>
      </w:r>
      <w:proofErr w:type="spellStart"/>
      <w:r w:rsidRPr="00C9136A">
        <w:rPr>
          <w:rFonts w:ascii="Times New Roman" w:hAnsi="Times New Roman" w:cs="Times New Roman"/>
          <w:sz w:val="24"/>
          <w:szCs w:val="24"/>
          <w:lang/>
        </w:rPr>
        <w:t>Bytyqi</w:t>
      </w:r>
      <w:proofErr w:type="spellEnd"/>
      <w:r w:rsidRPr="00C9136A">
        <w:rPr>
          <w:rFonts w:ascii="Times New Roman" w:hAnsi="Times New Roman" w:cs="Times New Roman"/>
          <w:sz w:val="24"/>
          <w:szCs w:val="24"/>
          <w:lang/>
        </w:rPr>
        <w:t xml:space="preserve"> Date __________________</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 xml:space="preserve">  </w:t>
      </w:r>
    </w:p>
    <w:p w:rsidR="00C9136A" w:rsidRPr="00C9136A" w:rsidRDefault="00C9136A" w:rsidP="00C9136A">
      <w:pPr>
        <w:jc w:val="both"/>
        <w:rPr>
          <w:rFonts w:ascii="Times New Roman" w:hAnsi="Times New Roman" w:cs="Times New Roman"/>
          <w:sz w:val="24"/>
          <w:szCs w:val="24"/>
          <w:lang/>
        </w:rPr>
      </w:pPr>
      <w:r w:rsidRPr="00C9136A">
        <w:rPr>
          <w:rFonts w:ascii="Times New Roman" w:hAnsi="Times New Roman" w:cs="Times New Roman"/>
          <w:sz w:val="24"/>
          <w:szCs w:val="24"/>
          <w:lang/>
        </w:rPr>
        <w:t>Chair of the Council of IMC</w:t>
      </w:r>
    </w:p>
    <w:p w:rsidR="00C9136A" w:rsidRPr="00C9136A" w:rsidRDefault="00C9136A" w:rsidP="00C9136A">
      <w:pPr>
        <w:jc w:val="both"/>
        <w:rPr>
          <w:rFonts w:ascii="Times New Roman" w:hAnsi="Times New Roman" w:cs="Times New Roman"/>
          <w:sz w:val="24"/>
          <w:szCs w:val="24"/>
          <w:lang/>
        </w:rPr>
      </w:pPr>
    </w:p>
    <w:p w:rsidR="003E79AA" w:rsidRPr="00C9136A" w:rsidRDefault="003E79AA" w:rsidP="00C9136A">
      <w:pPr>
        <w:jc w:val="both"/>
        <w:rPr>
          <w:lang/>
        </w:rPr>
      </w:pPr>
    </w:p>
    <w:sectPr w:rsidR="003E79AA" w:rsidRPr="00C9136A" w:rsidSect="003E79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136A"/>
    <w:rsid w:val="003E79AA"/>
    <w:rsid w:val="00853ED5"/>
    <w:rsid w:val="009078C8"/>
    <w:rsid w:val="00A327A7"/>
    <w:rsid w:val="00BA48B9"/>
    <w:rsid w:val="00C9136A"/>
    <w:rsid w:val="00CB5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B9"/>
    <w:rPr>
      <w:lang w:val="sq-AL"/>
    </w:rPr>
  </w:style>
  <w:style w:type="paragraph" w:styleId="Heading1">
    <w:name w:val="heading 1"/>
    <w:basedOn w:val="Normal"/>
    <w:next w:val="Normal"/>
    <w:link w:val="Heading1Char"/>
    <w:uiPriority w:val="9"/>
    <w:qFormat/>
    <w:rsid w:val="00BA48B9"/>
    <w:pPr>
      <w:keepNext/>
      <w:keepLines/>
      <w:spacing w:before="120" w:after="0" w:line="240" w:lineRule="auto"/>
      <w:jc w:val="center"/>
      <w:outlineLvl w:val="0"/>
    </w:pPr>
    <w:rPr>
      <w:rFonts w:ascii="Times New Roman" w:eastAsiaTheme="majorEastAsia" w:hAnsi="Times New Roman" w:cstheme="majorBidi"/>
      <w:b/>
      <w:bCs/>
      <w:color w:val="244061" w:themeColor="accent1" w:themeShade="80"/>
      <w:sz w:val="28"/>
      <w:szCs w:val="28"/>
      <w:lang w:val="en-GB" w:eastAsia="en-GB"/>
    </w:rPr>
  </w:style>
  <w:style w:type="paragraph" w:styleId="Heading2">
    <w:name w:val="heading 2"/>
    <w:basedOn w:val="Normal"/>
    <w:next w:val="Normal"/>
    <w:link w:val="Heading2Char"/>
    <w:uiPriority w:val="9"/>
    <w:unhideWhenUsed/>
    <w:qFormat/>
    <w:rsid w:val="00BA48B9"/>
    <w:pPr>
      <w:keepNext/>
      <w:keepLines/>
      <w:spacing w:before="200" w:after="0" w:line="240" w:lineRule="auto"/>
      <w:outlineLvl w:val="1"/>
    </w:pPr>
    <w:rPr>
      <w:rFonts w:ascii="Times New Roman" w:eastAsiaTheme="majorEastAsia" w:hAnsi="Times New Roman" w:cstheme="majorBidi"/>
      <w:b/>
      <w:bCs/>
      <w:color w:val="17365D" w:themeColor="text2" w:themeShade="BF"/>
      <w:sz w:val="24"/>
      <w:szCs w:val="26"/>
      <w:lang w:val="en-GB" w:eastAsia="en-GB"/>
    </w:rPr>
  </w:style>
  <w:style w:type="paragraph" w:styleId="Heading3">
    <w:name w:val="heading 3"/>
    <w:basedOn w:val="Normal"/>
    <w:next w:val="Normal"/>
    <w:link w:val="Heading3Char"/>
    <w:uiPriority w:val="9"/>
    <w:unhideWhenUsed/>
    <w:qFormat/>
    <w:rsid w:val="00BA48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48B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8B9"/>
    <w:rPr>
      <w:rFonts w:ascii="Times New Roman" w:eastAsiaTheme="majorEastAsia" w:hAnsi="Times New Roman" w:cstheme="majorBidi"/>
      <w:b/>
      <w:bCs/>
      <w:color w:val="244061" w:themeColor="accent1" w:themeShade="80"/>
      <w:sz w:val="28"/>
      <w:szCs w:val="28"/>
      <w:lang w:val="en-GB" w:eastAsia="en-GB"/>
    </w:rPr>
  </w:style>
  <w:style w:type="character" w:customStyle="1" w:styleId="Heading2Char">
    <w:name w:val="Heading 2 Char"/>
    <w:basedOn w:val="DefaultParagraphFont"/>
    <w:link w:val="Heading2"/>
    <w:uiPriority w:val="9"/>
    <w:rsid w:val="00BA48B9"/>
    <w:rPr>
      <w:rFonts w:ascii="Times New Roman" w:eastAsiaTheme="majorEastAsia" w:hAnsi="Times New Roman" w:cstheme="majorBidi"/>
      <w:b/>
      <w:bCs/>
      <w:color w:val="17365D" w:themeColor="text2" w:themeShade="BF"/>
      <w:sz w:val="24"/>
      <w:szCs w:val="26"/>
      <w:lang w:val="en-GB" w:eastAsia="en-GB"/>
    </w:rPr>
  </w:style>
  <w:style w:type="character" w:customStyle="1" w:styleId="Heading3Char">
    <w:name w:val="Heading 3 Char"/>
    <w:basedOn w:val="DefaultParagraphFont"/>
    <w:link w:val="Heading3"/>
    <w:uiPriority w:val="9"/>
    <w:rsid w:val="00BA48B9"/>
    <w:rPr>
      <w:rFonts w:asciiTheme="majorHAnsi" w:eastAsiaTheme="majorEastAsia" w:hAnsiTheme="majorHAnsi" w:cstheme="majorBidi"/>
      <w:b/>
      <w:bCs/>
      <w:color w:val="4F81BD" w:themeColor="accent1"/>
      <w:lang w:val="sq-AL"/>
    </w:rPr>
  </w:style>
  <w:style w:type="character" w:customStyle="1" w:styleId="Heading4Char">
    <w:name w:val="Heading 4 Char"/>
    <w:basedOn w:val="DefaultParagraphFont"/>
    <w:link w:val="Heading4"/>
    <w:uiPriority w:val="9"/>
    <w:rsid w:val="00BA48B9"/>
    <w:rPr>
      <w:rFonts w:asciiTheme="majorHAnsi" w:eastAsiaTheme="majorEastAsia" w:hAnsiTheme="majorHAnsi" w:cstheme="majorBidi"/>
      <w:b/>
      <w:bCs/>
      <w:i/>
      <w:iCs/>
      <w:color w:val="4F81BD" w:themeColor="accent1"/>
      <w:sz w:val="24"/>
      <w:szCs w:val="24"/>
      <w:lang w:val="en-GB" w:eastAsia="en-GB"/>
    </w:rPr>
  </w:style>
  <w:style w:type="paragraph" w:styleId="NoSpacing">
    <w:name w:val="No Spacing"/>
    <w:uiPriority w:val="1"/>
    <w:qFormat/>
    <w:rsid w:val="00BA48B9"/>
    <w:pPr>
      <w:spacing w:after="0" w:line="240" w:lineRule="auto"/>
    </w:pPr>
    <w:rPr>
      <w:rFonts w:ascii="Times New Roman" w:eastAsia="Calibri" w:hAnsi="Times New Roman" w:cs="Times New Roman"/>
      <w:sz w:val="24"/>
      <w:szCs w:val="24"/>
      <w:lang w:val="en-GB" w:eastAsia="en-GB"/>
    </w:rPr>
  </w:style>
  <w:style w:type="paragraph" w:styleId="ListParagraph">
    <w:name w:val="List Paragraph"/>
    <w:basedOn w:val="Normal"/>
    <w:uiPriority w:val="34"/>
    <w:qFormat/>
    <w:rsid w:val="00BA48B9"/>
    <w:pPr>
      <w:ind w:left="720"/>
    </w:pPr>
    <w:rPr>
      <w:rFonts w:ascii="Calibri" w:hAnsi="Calibri" w:cs="Times New Roman"/>
      <w:lang w:val="en-US"/>
    </w:rPr>
  </w:style>
  <w:style w:type="paragraph" w:styleId="TOCHeading">
    <w:name w:val="TOC Heading"/>
    <w:basedOn w:val="Heading1"/>
    <w:next w:val="Normal"/>
    <w:uiPriority w:val="39"/>
    <w:semiHidden/>
    <w:unhideWhenUsed/>
    <w:qFormat/>
    <w:rsid w:val="00BA48B9"/>
    <w:pPr>
      <w:spacing w:line="276" w:lineRule="auto"/>
      <w:outlineLvl w:val="9"/>
    </w:pPr>
    <w:rPr>
      <w:lang w:val="en-US" w:eastAsia="en-US"/>
    </w:rPr>
  </w:style>
  <w:style w:type="paragraph" w:styleId="BalloonText">
    <w:name w:val="Balloon Text"/>
    <w:basedOn w:val="Normal"/>
    <w:link w:val="BalloonTextChar"/>
    <w:uiPriority w:val="99"/>
    <w:semiHidden/>
    <w:unhideWhenUsed/>
    <w:rsid w:val="00C91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36A"/>
    <w:rPr>
      <w:rFonts w:ascii="Tahoma" w:hAnsi="Tahoma" w:cs="Tahoma"/>
      <w:sz w:val="16"/>
      <w:szCs w:val="16"/>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fcocaj</dc:creator>
  <cp:lastModifiedBy>fcocaj</cp:lastModifiedBy>
  <cp:revision>1</cp:revision>
  <dcterms:created xsi:type="dcterms:W3CDTF">2015-03-11T10:01:00Z</dcterms:created>
  <dcterms:modified xsi:type="dcterms:W3CDTF">2015-03-11T10:03:00Z</dcterms:modified>
</cp:coreProperties>
</file>