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2" w:rsidRPr="00E71259" w:rsidRDefault="00151C74">
      <w:r w:rsidRPr="00E71259">
        <w:rPr>
          <w:noProof/>
        </w:rPr>
        <w:drawing>
          <wp:inline distT="0" distB="0" distL="0" distR="0">
            <wp:extent cx="5731510" cy="990155"/>
            <wp:effectExtent l="19050" t="0" r="2540" b="0"/>
            <wp:docPr id="1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74" w:rsidRPr="00E71259" w:rsidRDefault="00151C74" w:rsidP="00151C7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IMC-2017/03</w:t>
      </w:r>
    </w:p>
    <w:p w:rsidR="009A6BF4" w:rsidRPr="00E71259" w:rsidRDefault="00C35BAB" w:rsidP="009A6BF4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E71259">
        <w:rPr>
          <w:rFonts w:ascii="Times New Roman" w:hAnsi="Times New Roman"/>
          <w:sz w:val="24"/>
          <w:szCs w:val="24"/>
        </w:rPr>
        <w:t xml:space="preserve">Based on </w:t>
      </w:r>
      <w:r w:rsidR="00E109B6" w:rsidRPr="00E71259">
        <w:rPr>
          <w:rFonts w:ascii="Times New Roman" w:hAnsi="Times New Roman"/>
          <w:sz w:val="24"/>
          <w:szCs w:val="24"/>
        </w:rPr>
        <w:t xml:space="preserve">Article </w:t>
      </w:r>
      <w:r w:rsidRPr="00E71259">
        <w:rPr>
          <w:rFonts w:ascii="Times New Roman" w:hAnsi="Times New Roman"/>
          <w:sz w:val="24"/>
          <w:szCs w:val="24"/>
        </w:rPr>
        <w:t xml:space="preserve">3, paragraph 2.5 and 2.6 and </w:t>
      </w:r>
      <w:r w:rsidR="00E109B6" w:rsidRPr="00E71259">
        <w:rPr>
          <w:rFonts w:ascii="Times New Roman" w:hAnsi="Times New Roman"/>
          <w:sz w:val="24"/>
          <w:szCs w:val="24"/>
        </w:rPr>
        <w:t xml:space="preserve">Article </w:t>
      </w:r>
      <w:r w:rsidR="00151C74" w:rsidRPr="00E71259">
        <w:rPr>
          <w:rFonts w:ascii="Times New Roman" w:hAnsi="Times New Roman"/>
          <w:sz w:val="24"/>
          <w:szCs w:val="24"/>
        </w:rPr>
        <w:t xml:space="preserve">26 </w:t>
      </w:r>
      <w:r w:rsidR="009A6BF4" w:rsidRPr="00E71259">
        <w:rPr>
          <w:rFonts w:ascii="Times New Roman" w:eastAsia="Times New Roman" w:hAnsi="Times New Roman"/>
          <w:sz w:val="24"/>
          <w:szCs w:val="24"/>
        </w:rPr>
        <w:t xml:space="preserve">of the </w:t>
      </w:r>
      <w:r w:rsidR="00E109B6" w:rsidRPr="00E71259">
        <w:rPr>
          <w:rFonts w:ascii="Times New Roman" w:eastAsia="Times New Roman" w:hAnsi="Times New Roman"/>
          <w:sz w:val="24"/>
          <w:szCs w:val="24"/>
        </w:rPr>
        <w:t>Law N</w:t>
      </w:r>
      <w:r w:rsidR="00E109B6">
        <w:rPr>
          <w:rFonts w:ascii="Times New Roman" w:eastAsia="Times New Roman" w:hAnsi="Times New Roman"/>
          <w:sz w:val="24"/>
          <w:szCs w:val="24"/>
        </w:rPr>
        <w:t>o. 04/</w:t>
      </w:r>
      <w:r w:rsidR="00E109B6" w:rsidRPr="00E71259">
        <w:rPr>
          <w:rFonts w:ascii="Times New Roman" w:eastAsia="Times New Roman" w:hAnsi="Times New Roman"/>
          <w:sz w:val="24"/>
          <w:szCs w:val="24"/>
        </w:rPr>
        <w:t>L-44</w:t>
      </w:r>
      <w:r w:rsidR="00E109B6">
        <w:rPr>
          <w:rFonts w:ascii="Times New Roman" w:eastAsia="Times New Roman" w:hAnsi="Times New Roman"/>
          <w:sz w:val="24"/>
          <w:szCs w:val="24"/>
        </w:rPr>
        <w:t xml:space="preserve"> on the </w:t>
      </w:r>
      <w:r w:rsidR="009A6BF4" w:rsidRPr="00E71259">
        <w:rPr>
          <w:rFonts w:ascii="Times New Roman" w:eastAsia="Times New Roman" w:hAnsi="Times New Roman"/>
          <w:sz w:val="24"/>
          <w:szCs w:val="24"/>
        </w:rPr>
        <w:t>Independent Media Commission, IMC approves this:</w:t>
      </w:r>
    </w:p>
    <w:p w:rsidR="00151C74" w:rsidRPr="00E71259" w:rsidRDefault="00151C74" w:rsidP="009A6BF4">
      <w:pPr>
        <w:jc w:val="both"/>
      </w:pPr>
    </w:p>
    <w:p w:rsidR="002957C1" w:rsidRPr="00E71259" w:rsidRDefault="002957C1" w:rsidP="002957C1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REGULATION FOR THE ANNUAL LICENSE FEES</w:t>
      </w:r>
    </w:p>
    <w:p w:rsidR="00DB4080" w:rsidRPr="00E71259" w:rsidRDefault="00DB4080" w:rsidP="002957C1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DB4080" w:rsidRPr="00E71259" w:rsidRDefault="00DB4080" w:rsidP="00DB40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ARTICLE 1</w:t>
      </w:r>
    </w:p>
    <w:p w:rsidR="00DB4080" w:rsidRPr="00E71259" w:rsidRDefault="00DB4080" w:rsidP="00DB40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PURPOSE</w:t>
      </w:r>
    </w:p>
    <w:p w:rsidR="002957C1" w:rsidRPr="00E71259" w:rsidRDefault="002957C1" w:rsidP="002957C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B4080" w:rsidRPr="00E71259" w:rsidRDefault="00E71259" w:rsidP="00E712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Determination of </w:t>
      </w:r>
      <w:r w:rsidR="00DB4080"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the level of the fee for applying for the IMC license for all categories of </w:t>
      </w:r>
      <w:r w:rsidR="00AF44B8"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IMC </w:t>
      </w:r>
      <w:r w:rsidR="00DB4080" w:rsidRPr="00E71259">
        <w:rPr>
          <w:rFonts w:ascii="Times New Roman" w:hAnsi="Times New Roman" w:cs="Times New Roman"/>
          <w:sz w:val="24"/>
          <w:szCs w:val="24"/>
          <w:lang w:val="en-US"/>
        </w:rPr>
        <w:t>Licensees.</w:t>
      </w:r>
    </w:p>
    <w:p w:rsidR="00E71259" w:rsidRPr="00E71259" w:rsidRDefault="00E71259" w:rsidP="00E712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259" w:rsidRPr="00E71259" w:rsidRDefault="00E71259" w:rsidP="00E712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259">
        <w:rPr>
          <w:rFonts w:ascii="Times New Roman" w:hAnsi="Times New Roman" w:cs="Times New Roman"/>
          <w:sz w:val="24"/>
          <w:szCs w:val="24"/>
          <w:lang w:val="en-US"/>
        </w:rPr>
        <w:t>Determination of</w:t>
      </w:r>
      <w:r w:rsidR="00DB4080"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 the level and manner of payment of the annual license fee for a</w:t>
      </w:r>
      <w:r w:rsidR="00AF44B8" w:rsidRPr="00E71259">
        <w:rPr>
          <w:rFonts w:ascii="Times New Roman" w:hAnsi="Times New Roman" w:cs="Times New Roman"/>
          <w:sz w:val="24"/>
          <w:szCs w:val="24"/>
          <w:lang w:val="en-US"/>
        </w:rPr>
        <w:t>ll categories of IMC Licensees</w:t>
      </w:r>
      <w:r w:rsidR="00E02934" w:rsidRPr="00E712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1259" w:rsidRPr="00E71259" w:rsidRDefault="00E71259" w:rsidP="00E712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080" w:rsidRPr="00E71259" w:rsidRDefault="00E71259" w:rsidP="00E712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259">
        <w:rPr>
          <w:rFonts w:ascii="Times New Roman" w:hAnsi="Times New Roman" w:cs="Times New Roman"/>
          <w:sz w:val="24"/>
          <w:szCs w:val="24"/>
          <w:lang w:val="en-US"/>
        </w:rPr>
        <w:t>Determination of</w:t>
      </w:r>
      <w:r w:rsidR="00DB4080"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 the level of fee </w:t>
      </w:r>
      <w:r w:rsidR="00AF44B8"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concerning </w:t>
      </w:r>
      <w:r w:rsidR="00DB4080" w:rsidRPr="00E71259">
        <w:rPr>
          <w:rFonts w:ascii="Times New Roman" w:hAnsi="Times New Roman" w:cs="Times New Roman"/>
          <w:sz w:val="24"/>
          <w:szCs w:val="24"/>
          <w:lang w:val="en-US"/>
        </w:rPr>
        <w:t>the change or extension of the IMC license for all categories of</w:t>
      </w:r>
      <w:r w:rsidR="00C35BAB"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 IMC</w:t>
      </w:r>
      <w:r w:rsidR="00DB4080" w:rsidRPr="00E71259">
        <w:rPr>
          <w:rFonts w:ascii="Times New Roman" w:hAnsi="Times New Roman" w:cs="Times New Roman"/>
          <w:sz w:val="24"/>
          <w:szCs w:val="24"/>
          <w:lang w:val="en-US"/>
        </w:rPr>
        <w:t xml:space="preserve"> Licensees.</w:t>
      </w:r>
    </w:p>
    <w:p w:rsidR="00E02934" w:rsidRPr="00E71259" w:rsidRDefault="009C46F4" w:rsidP="009C46F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2                                                                                                     </w:t>
      </w:r>
      <w:r w:rsid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LICENSE APPLICATION FEE</w:t>
      </w:r>
    </w:p>
    <w:p w:rsidR="009C46F4" w:rsidRPr="00E71259" w:rsidRDefault="00AB4E6D" w:rsidP="009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>Applicant upon submission of</w:t>
      </w:r>
      <w:r w:rsidR="009C46F4" w:rsidRPr="00E71259">
        <w:rPr>
          <w:rFonts w:ascii="Times New Roman" w:hAnsi="Times New Roman" w:cs="Times New Roman"/>
          <w:sz w:val="24"/>
          <w:szCs w:val="24"/>
        </w:rPr>
        <w:t xml:space="preserve"> the ap</w:t>
      </w:r>
      <w:r w:rsidRPr="00E71259">
        <w:rPr>
          <w:rFonts w:ascii="Times New Roman" w:hAnsi="Times New Roman" w:cs="Times New Roman"/>
          <w:sz w:val="24"/>
          <w:szCs w:val="24"/>
        </w:rPr>
        <w:t>plication for a license for MSP</w:t>
      </w:r>
      <w:r w:rsidR="009C46F4" w:rsidRPr="00E71259">
        <w:rPr>
          <w:rFonts w:ascii="Times New Roman" w:hAnsi="Times New Roman" w:cs="Times New Roman"/>
          <w:sz w:val="24"/>
          <w:szCs w:val="24"/>
        </w:rPr>
        <w:t xml:space="preserve"> and distribution operator must pay an administrative fee in the </w:t>
      </w:r>
      <w:r w:rsidR="00E71259" w:rsidRPr="00E71259">
        <w:rPr>
          <w:rFonts w:ascii="Times New Roman" w:hAnsi="Times New Roman" w:cs="Times New Roman"/>
          <w:sz w:val="24"/>
          <w:szCs w:val="24"/>
        </w:rPr>
        <w:t xml:space="preserve">irreversible </w:t>
      </w:r>
      <w:r w:rsidR="009C46F4" w:rsidRPr="00E71259">
        <w:rPr>
          <w:rFonts w:ascii="Times New Roman" w:hAnsi="Times New Roman" w:cs="Times New Roman"/>
          <w:sz w:val="24"/>
          <w:szCs w:val="24"/>
        </w:rPr>
        <w:t xml:space="preserve">amount of </w:t>
      </w:r>
      <w:r w:rsidR="00C7080C" w:rsidRPr="00E71259">
        <w:rPr>
          <w:rFonts w:ascii="Times New Roman" w:hAnsi="Times New Roman" w:cs="Times New Roman"/>
          <w:sz w:val="24"/>
          <w:szCs w:val="24"/>
        </w:rPr>
        <w:t>one</w:t>
      </w:r>
      <w:r w:rsidR="009C46F4" w:rsidRPr="00E71259">
        <w:rPr>
          <w:rFonts w:ascii="Times New Roman" w:hAnsi="Times New Roman" w:cs="Times New Roman"/>
          <w:sz w:val="24"/>
          <w:szCs w:val="24"/>
        </w:rPr>
        <w:t xml:space="preserve"> hundred Euros (100</w:t>
      </w:r>
      <w:r w:rsid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E71259" w:rsidRPr="00E71259">
        <w:rPr>
          <w:rFonts w:ascii="Times New Roman" w:hAnsi="Times New Roman" w:cs="Times New Roman"/>
          <w:sz w:val="24"/>
          <w:szCs w:val="24"/>
        </w:rPr>
        <w:t>€</w:t>
      </w:r>
      <w:r w:rsidR="009C46F4" w:rsidRPr="00E71259">
        <w:rPr>
          <w:rFonts w:ascii="Times New Roman" w:hAnsi="Times New Roman" w:cs="Times New Roman"/>
          <w:sz w:val="24"/>
          <w:szCs w:val="24"/>
        </w:rPr>
        <w:t>) to the bank account of the IMC.</w:t>
      </w:r>
    </w:p>
    <w:p w:rsidR="009C46F4" w:rsidRPr="00E71259" w:rsidRDefault="00586132" w:rsidP="009C46F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9C46F4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9C46F4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3                                                                                                                                       </w:t>
      </w:r>
      <w:r w:rsidR="000C5216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CATEGOR</w:t>
      </w:r>
      <w:r w:rsidR="000C5216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IZATION</w:t>
      </w:r>
      <w:r w:rsidR="009C46F4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OF AUDIO MEDIA SERVICE PROVI</w:t>
      </w:r>
      <w:r w:rsidR="0023788A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DERS (</w:t>
      </w:r>
      <w:r w:rsid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AMSP</w:t>
      </w:r>
      <w:r w:rsidR="009C46F4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 WITH ANALOG TERRESTRIAL BROADCASTING</w:t>
      </w:r>
      <w:proofErr w:type="gramEnd"/>
    </w:p>
    <w:p w:rsidR="00672F4E" w:rsidRDefault="00672F4E" w:rsidP="00E712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259">
        <w:rPr>
          <w:rFonts w:ascii="Times New Roman" w:hAnsi="Times New Roman" w:cs="Times New Roman"/>
          <w:b/>
          <w:sz w:val="24"/>
          <w:szCs w:val="24"/>
        </w:rPr>
        <w:t>Category</w:t>
      </w:r>
      <w:proofErr w:type="spellEnd"/>
      <w:r w:rsidRPr="00E7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16" w:rsidRPr="00E7125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71259" w:rsidRPr="00E71259">
        <w:rPr>
          <w:rFonts w:ascii="Times New Roman" w:hAnsi="Times New Roman" w:cs="Times New Roman"/>
          <w:b/>
          <w:sz w:val="24"/>
          <w:szCs w:val="24"/>
        </w:rPr>
        <w:t>A</w:t>
      </w:r>
      <w:r w:rsidR="000C5216" w:rsidRPr="00E71259">
        <w:rPr>
          <w:rFonts w:ascii="Times New Roman" w:hAnsi="Times New Roman" w:cs="Times New Roman"/>
          <w:b/>
          <w:sz w:val="24"/>
          <w:szCs w:val="24"/>
        </w:rPr>
        <w:t>MSP</w:t>
      </w:r>
      <w:r w:rsidRPr="00E712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25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71259">
        <w:rPr>
          <w:rFonts w:ascii="Times New Roman" w:hAnsi="Times New Roman" w:cs="Times New Roman"/>
          <w:b/>
          <w:sz w:val="24"/>
          <w:szCs w:val="24"/>
        </w:rPr>
        <w:t xml:space="preserve"> national coverage</w:t>
      </w:r>
      <w:r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2B6BC5" w:rsidRPr="00E71259">
        <w:rPr>
          <w:rFonts w:ascii="Times New Roman" w:hAnsi="Times New Roman" w:cs="Times New Roman"/>
          <w:sz w:val="24"/>
          <w:szCs w:val="24"/>
        </w:rPr>
        <w:t>–</w:t>
      </w:r>
      <w:r w:rsidR="00E71259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sz w:val="24"/>
          <w:szCs w:val="24"/>
        </w:rPr>
        <w:t xml:space="preserve">belongs </w:t>
      </w:r>
      <w:r w:rsidR="002B6BC5" w:rsidRPr="00E71259">
        <w:rPr>
          <w:rFonts w:ascii="Times New Roman" w:hAnsi="Times New Roman" w:cs="Times New Roman"/>
          <w:sz w:val="24"/>
          <w:szCs w:val="24"/>
        </w:rPr>
        <w:t xml:space="preserve">to </w:t>
      </w:r>
      <w:r w:rsidR="00E71259" w:rsidRPr="00E71259">
        <w:rPr>
          <w:rFonts w:ascii="Times New Roman" w:hAnsi="Times New Roman" w:cs="Times New Roman"/>
          <w:sz w:val="24"/>
          <w:szCs w:val="24"/>
        </w:rPr>
        <w:t>Audio Media Service Providers</w:t>
      </w:r>
      <w:r w:rsidRPr="00E71259">
        <w:rPr>
          <w:rFonts w:ascii="Times New Roman" w:hAnsi="Times New Roman" w:cs="Times New Roman"/>
          <w:sz w:val="24"/>
          <w:szCs w:val="24"/>
        </w:rPr>
        <w:t xml:space="preserve">, which cover </w:t>
      </w:r>
      <w:r w:rsidR="002B6BC5" w:rsidRPr="00E71259">
        <w:rPr>
          <w:rFonts w:ascii="Times New Roman" w:hAnsi="Times New Roman" w:cs="Times New Roman"/>
          <w:sz w:val="24"/>
          <w:szCs w:val="24"/>
        </w:rPr>
        <w:t xml:space="preserve">with </w:t>
      </w:r>
      <w:r w:rsidRPr="00E71259">
        <w:rPr>
          <w:rFonts w:ascii="Times New Roman" w:hAnsi="Times New Roman" w:cs="Times New Roman"/>
          <w:sz w:val="24"/>
          <w:szCs w:val="24"/>
        </w:rPr>
        <w:t xml:space="preserve">radio signal, through frequency, at least 95% of the </w:t>
      </w:r>
      <w:proofErr w:type="spellStart"/>
      <w:r w:rsidRPr="00E71259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E712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7125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E71259">
        <w:rPr>
          <w:rFonts w:ascii="Times New Roman" w:hAnsi="Times New Roman" w:cs="Times New Roman"/>
          <w:sz w:val="24"/>
          <w:szCs w:val="24"/>
        </w:rPr>
        <w:t xml:space="preserve"> of Kosovo.</w:t>
      </w:r>
    </w:p>
    <w:p w:rsidR="00E71259" w:rsidRPr="00E71259" w:rsidRDefault="00E71259" w:rsidP="00E712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1259" w:rsidRPr="00E71259" w:rsidRDefault="00672F4E" w:rsidP="00E712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259">
        <w:rPr>
          <w:rFonts w:ascii="Times New Roman" w:hAnsi="Times New Roman" w:cs="Times New Roman"/>
          <w:b/>
          <w:sz w:val="24"/>
          <w:szCs w:val="24"/>
        </w:rPr>
        <w:lastRenderedPageBreak/>
        <w:t>Category</w:t>
      </w:r>
      <w:proofErr w:type="spellEnd"/>
      <w:r w:rsidRPr="00E7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BC5" w:rsidRPr="00E7125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71259" w:rsidRPr="00E71259">
        <w:rPr>
          <w:rFonts w:ascii="Times New Roman" w:hAnsi="Times New Roman" w:cs="Times New Roman"/>
          <w:b/>
          <w:sz w:val="24"/>
          <w:szCs w:val="24"/>
        </w:rPr>
        <w:t xml:space="preserve">AMSP </w:t>
      </w:r>
      <w:proofErr w:type="spellStart"/>
      <w:r w:rsidRPr="00E7125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71259">
        <w:rPr>
          <w:rFonts w:ascii="Times New Roman" w:hAnsi="Times New Roman" w:cs="Times New Roman"/>
          <w:b/>
          <w:sz w:val="24"/>
          <w:szCs w:val="24"/>
        </w:rPr>
        <w:t xml:space="preserve"> regional coverage</w:t>
      </w:r>
      <w:r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2B6BC5" w:rsidRPr="00E71259">
        <w:rPr>
          <w:rFonts w:ascii="Times New Roman" w:hAnsi="Times New Roman" w:cs="Times New Roman"/>
          <w:sz w:val="24"/>
          <w:szCs w:val="24"/>
        </w:rPr>
        <w:t>–</w:t>
      </w:r>
      <w:r w:rsidR="00E71259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sz w:val="24"/>
          <w:szCs w:val="24"/>
        </w:rPr>
        <w:t>belongs</w:t>
      </w:r>
      <w:r w:rsidR="002B6BC5" w:rsidRPr="00E71259">
        <w:rPr>
          <w:rFonts w:ascii="Times New Roman" w:hAnsi="Times New Roman" w:cs="Times New Roman"/>
          <w:sz w:val="24"/>
          <w:szCs w:val="24"/>
        </w:rPr>
        <w:t xml:space="preserve"> to Audio</w:t>
      </w:r>
      <w:r w:rsidR="00C13499" w:rsidRPr="00E71259">
        <w:rPr>
          <w:rFonts w:ascii="Times New Roman" w:hAnsi="Times New Roman" w:cs="Times New Roman"/>
          <w:sz w:val="24"/>
          <w:szCs w:val="24"/>
        </w:rPr>
        <w:t xml:space="preserve"> Media</w:t>
      </w:r>
      <w:r w:rsidRPr="00E71259">
        <w:rPr>
          <w:rFonts w:ascii="Times New Roman" w:hAnsi="Times New Roman" w:cs="Times New Roman"/>
          <w:sz w:val="24"/>
          <w:szCs w:val="24"/>
        </w:rPr>
        <w:t xml:space="preserve"> Service Providers, which cover</w:t>
      </w:r>
      <w:r w:rsidR="00E71259" w:rsidRPr="00E71259">
        <w:rPr>
          <w:rFonts w:ascii="Times New Roman" w:hAnsi="Times New Roman" w:cs="Times New Roman"/>
          <w:sz w:val="24"/>
          <w:szCs w:val="24"/>
        </w:rPr>
        <w:t xml:space="preserve"> with</w:t>
      </w:r>
      <w:r w:rsidRPr="00E71259">
        <w:rPr>
          <w:rFonts w:ascii="Times New Roman" w:hAnsi="Times New Roman" w:cs="Times New Roman"/>
          <w:sz w:val="24"/>
          <w:szCs w:val="24"/>
        </w:rPr>
        <w:t xml:space="preserve"> radio signal</w:t>
      </w:r>
      <w:r w:rsidR="00E71259" w:rsidRPr="00E71259">
        <w:rPr>
          <w:rFonts w:ascii="Times New Roman" w:hAnsi="Times New Roman" w:cs="Times New Roman"/>
          <w:sz w:val="24"/>
          <w:szCs w:val="24"/>
        </w:rPr>
        <w:t>,</w:t>
      </w:r>
      <w:r w:rsidRPr="00E71259">
        <w:rPr>
          <w:rFonts w:ascii="Times New Roman" w:hAnsi="Times New Roman" w:cs="Times New Roman"/>
          <w:sz w:val="24"/>
          <w:szCs w:val="24"/>
        </w:rPr>
        <w:t xml:space="preserve"> through a frequency</w:t>
      </w:r>
      <w:r w:rsidR="00E71259" w:rsidRPr="00E71259">
        <w:rPr>
          <w:rFonts w:ascii="Times New Roman" w:hAnsi="Times New Roman" w:cs="Times New Roman"/>
          <w:sz w:val="24"/>
          <w:szCs w:val="24"/>
        </w:rPr>
        <w:t>,</w:t>
      </w:r>
      <w:r w:rsidRPr="00E71259">
        <w:rPr>
          <w:rFonts w:ascii="Times New Roman" w:hAnsi="Times New Roman" w:cs="Times New Roman"/>
          <w:sz w:val="24"/>
          <w:szCs w:val="24"/>
        </w:rPr>
        <w:t xml:space="preserve"> from 30% to 60% of the </w:t>
      </w:r>
      <w:proofErr w:type="spellStart"/>
      <w:r w:rsidRPr="00E71259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E712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7125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E71259">
        <w:rPr>
          <w:rFonts w:ascii="Times New Roman" w:hAnsi="Times New Roman" w:cs="Times New Roman"/>
          <w:sz w:val="24"/>
          <w:szCs w:val="24"/>
        </w:rPr>
        <w:t xml:space="preserve"> of Kosovo.</w:t>
      </w:r>
    </w:p>
    <w:p w:rsidR="00E71259" w:rsidRPr="00E71259" w:rsidRDefault="00E71259" w:rsidP="00E712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1259" w:rsidRPr="00E71259" w:rsidRDefault="00097EF3" w:rsidP="00E712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259">
        <w:rPr>
          <w:rFonts w:ascii="Times New Roman" w:hAnsi="Times New Roman" w:cs="Times New Roman"/>
          <w:b/>
          <w:sz w:val="24"/>
          <w:szCs w:val="24"/>
        </w:rPr>
        <w:t>Category</w:t>
      </w:r>
      <w:proofErr w:type="spellEnd"/>
      <w:r w:rsidRPr="00E7125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71259" w:rsidRPr="00E71259">
        <w:rPr>
          <w:rFonts w:ascii="Times New Roman" w:hAnsi="Times New Roman" w:cs="Times New Roman"/>
          <w:b/>
          <w:sz w:val="24"/>
          <w:szCs w:val="24"/>
        </w:rPr>
        <w:t xml:space="preserve">AMSP </w:t>
      </w:r>
      <w:proofErr w:type="spellStart"/>
      <w:r w:rsidR="00672F4E" w:rsidRPr="00E7125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672F4E" w:rsidRPr="00E71259">
        <w:rPr>
          <w:rFonts w:ascii="Times New Roman" w:hAnsi="Times New Roman" w:cs="Times New Roman"/>
          <w:b/>
          <w:sz w:val="24"/>
          <w:szCs w:val="24"/>
        </w:rPr>
        <w:t xml:space="preserve"> local coverage</w:t>
      </w:r>
      <w:r w:rsidR="00672F4E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sz w:val="24"/>
          <w:szCs w:val="24"/>
        </w:rPr>
        <w:t>–</w:t>
      </w:r>
      <w:r w:rsidR="00E71259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672F4E" w:rsidRPr="00E71259">
        <w:rPr>
          <w:rFonts w:ascii="Times New Roman" w:hAnsi="Times New Roman" w:cs="Times New Roman"/>
          <w:sz w:val="24"/>
          <w:szCs w:val="24"/>
        </w:rPr>
        <w:t xml:space="preserve">belongs </w:t>
      </w:r>
      <w:r w:rsidRPr="00E71259">
        <w:rPr>
          <w:rFonts w:ascii="Times New Roman" w:hAnsi="Times New Roman" w:cs="Times New Roman"/>
          <w:sz w:val="24"/>
          <w:szCs w:val="24"/>
        </w:rPr>
        <w:t>to Audio</w:t>
      </w:r>
      <w:r w:rsidR="00C13499" w:rsidRPr="00E71259">
        <w:rPr>
          <w:rFonts w:ascii="Times New Roman" w:hAnsi="Times New Roman" w:cs="Times New Roman"/>
          <w:sz w:val="24"/>
          <w:szCs w:val="24"/>
        </w:rPr>
        <w:t xml:space="preserve"> Media</w:t>
      </w:r>
      <w:r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672F4E" w:rsidRPr="00E71259">
        <w:rPr>
          <w:rFonts w:ascii="Times New Roman" w:hAnsi="Times New Roman" w:cs="Times New Roman"/>
          <w:sz w:val="24"/>
          <w:szCs w:val="24"/>
        </w:rPr>
        <w:t>Service Providers, which provide radio signal coverage, through a frequency</w:t>
      </w:r>
      <w:r w:rsidR="00C13499" w:rsidRPr="00E71259">
        <w:rPr>
          <w:rFonts w:ascii="Times New Roman" w:hAnsi="Times New Roman" w:cs="Times New Roman"/>
          <w:sz w:val="24"/>
          <w:szCs w:val="24"/>
        </w:rPr>
        <w:t>,</w:t>
      </w:r>
      <w:r w:rsidR="00672F4E" w:rsidRPr="00E71259">
        <w:rPr>
          <w:rFonts w:ascii="Times New Roman" w:hAnsi="Times New Roman" w:cs="Times New Roman"/>
          <w:sz w:val="24"/>
          <w:szCs w:val="24"/>
        </w:rPr>
        <w:t xml:space="preserve"> up to three municipalities (up to 30% of the </w:t>
      </w:r>
      <w:proofErr w:type="spellStart"/>
      <w:r w:rsidR="00672F4E" w:rsidRPr="00E71259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672F4E" w:rsidRPr="00E712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672F4E" w:rsidRPr="00E7125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672F4E" w:rsidRPr="00E71259">
        <w:rPr>
          <w:rFonts w:ascii="Times New Roman" w:hAnsi="Times New Roman" w:cs="Times New Roman"/>
          <w:sz w:val="24"/>
          <w:szCs w:val="24"/>
        </w:rPr>
        <w:t xml:space="preserve"> of Kosovo).</w:t>
      </w:r>
    </w:p>
    <w:p w:rsidR="00E71259" w:rsidRPr="00E71259" w:rsidRDefault="00E71259" w:rsidP="00E712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2F4E" w:rsidRPr="00E71259" w:rsidRDefault="00672F4E" w:rsidP="00E712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259">
        <w:rPr>
          <w:rFonts w:ascii="Times New Roman" w:hAnsi="Times New Roman" w:cs="Times New Roman"/>
          <w:b/>
          <w:sz w:val="24"/>
          <w:szCs w:val="24"/>
        </w:rPr>
        <w:t>Category</w:t>
      </w:r>
      <w:proofErr w:type="spellEnd"/>
      <w:r w:rsidRPr="00E7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EF3" w:rsidRPr="00E7125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71259" w:rsidRPr="00E71259">
        <w:rPr>
          <w:rFonts w:ascii="Times New Roman" w:hAnsi="Times New Roman" w:cs="Times New Roman"/>
          <w:b/>
          <w:sz w:val="24"/>
          <w:szCs w:val="24"/>
        </w:rPr>
        <w:t xml:space="preserve">AMSP </w:t>
      </w:r>
      <w:proofErr w:type="spellStart"/>
      <w:r w:rsidR="00097EF3" w:rsidRPr="00E7125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71259">
        <w:rPr>
          <w:rFonts w:ascii="Times New Roman" w:hAnsi="Times New Roman" w:cs="Times New Roman"/>
          <w:b/>
          <w:sz w:val="24"/>
          <w:szCs w:val="24"/>
        </w:rPr>
        <w:t xml:space="preserve"> low power transmission</w:t>
      </w:r>
      <w:r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C13499" w:rsidRPr="00E71259">
        <w:rPr>
          <w:rFonts w:ascii="Times New Roman" w:hAnsi="Times New Roman" w:cs="Times New Roman"/>
          <w:sz w:val="24"/>
          <w:szCs w:val="24"/>
        </w:rPr>
        <w:t>–</w:t>
      </w:r>
      <w:r w:rsidRPr="00E71259">
        <w:rPr>
          <w:rFonts w:ascii="Times New Roman" w:hAnsi="Times New Roman" w:cs="Times New Roman"/>
          <w:sz w:val="24"/>
          <w:szCs w:val="24"/>
        </w:rPr>
        <w:t xml:space="preserve"> belongs </w:t>
      </w:r>
      <w:r w:rsidR="00C13499" w:rsidRPr="00E71259">
        <w:rPr>
          <w:rFonts w:ascii="Times New Roman" w:hAnsi="Times New Roman" w:cs="Times New Roman"/>
          <w:sz w:val="24"/>
          <w:szCs w:val="24"/>
        </w:rPr>
        <w:t>to Audio</w:t>
      </w:r>
      <w:r w:rsidR="00270CBD" w:rsidRPr="00E71259">
        <w:rPr>
          <w:rFonts w:ascii="Times New Roman" w:hAnsi="Times New Roman" w:cs="Times New Roman"/>
          <w:sz w:val="24"/>
          <w:szCs w:val="24"/>
        </w:rPr>
        <w:t xml:space="preserve"> Media</w:t>
      </w:r>
      <w:r w:rsidR="00C13499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sz w:val="24"/>
          <w:szCs w:val="24"/>
        </w:rPr>
        <w:t xml:space="preserve">Service Providers, which through a frequency, broadcast </w:t>
      </w:r>
      <w:r w:rsidR="00E71259" w:rsidRPr="00E71259">
        <w:rPr>
          <w:rFonts w:ascii="Times New Roman" w:hAnsi="Times New Roman" w:cs="Times New Roman"/>
          <w:sz w:val="24"/>
          <w:szCs w:val="24"/>
        </w:rPr>
        <w:t xml:space="preserve">with </w:t>
      </w:r>
      <w:r w:rsidRPr="00E71259">
        <w:rPr>
          <w:rFonts w:ascii="Times New Roman" w:hAnsi="Times New Roman" w:cs="Times New Roman"/>
          <w:sz w:val="24"/>
          <w:szCs w:val="24"/>
        </w:rPr>
        <w:t xml:space="preserve">less than 50 W </w:t>
      </w:r>
      <w:r w:rsidR="00E71259" w:rsidRPr="00E71259">
        <w:rPr>
          <w:rFonts w:ascii="Times New Roman" w:hAnsi="Times New Roman" w:cs="Times New Roman"/>
          <w:sz w:val="24"/>
          <w:szCs w:val="24"/>
        </w:rPr>
        <w:t>transmitting power</w:t>
      </w:r>
      <w:r w:rsidRPr="00E71259">
        <w:rPr>
          <w:rFonts w:ascii="Times New Roman" w:hAnsi="Times New Roman" w:cs="Times New Roman"/>
          <w:sz w:val="24"/>
          <w:szCs w:val="24"/>
        </w:rPr>
        <w:t>.</w:t>
      </w:r>
    </w:p>
    <w:p w:rsidR="00961FE4" w:rsidRPr="00E71259" w:rsidRDefault="00B642EA" w:rsidP="00EC552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841270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841270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4                                                                                                                                      </w:t>
      </w:r>
      <w:r w:rsidR="00886CAD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CATEGORIZATION</w:t>
      </w:r>
      <w:r w:rsidR="00841270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OF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AUDIOVISUAL MEDIA SERVICE</w:t>
      </w:r>
      <w:r w:rsidR="00841270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PROVIDERS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</w:t>
      </w:r>
      <w:r w:rsid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AVMSP</w:t>
      </w:r>
      <w:r w:rsidR="00841270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) WITH DISTRIBUTION THROUGH </w:t>
      </w:r>
      <w:r w:rsidR="00B3032A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DIGITAL </w:t>
      </w:r>
      <w:r w:rsidR="00841270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TERRESTRIAL BROADCASTING</w:t>
      </w:r>
      <w:proofErr w:type="gramEnd"/>
    </w:p>
    <w:p w:rsidR="00EC552C" w:rsidRDefault="00B642EA" w:rsidP="00B303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Category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71259" w:rsidRPr="00B3032A">
        <w:rPr>
          <w:rFonts w:ascii="Times New Roman" w:hAnsi="Times New Roman" w:cs="Times New Roman"/>
          <w:b/>
          <w:sz w:val="24"/>
          <w:szCs w:val="24"/>
        </w:rPr>
        <w:t xml:space="preserve">AVMSP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2A" w:rsidRPr="00B3032A">
        <w:rPr>
          <w:rFonts w:ascii="Times New Roman" w:hAnsi="Times New Roman" w:cs="Times New Roman"/>
          <w:b/>
          <w:sz w:val="24"/>
          <w:szCs w:val="24"/>
        </w:rPr>
        <w:t>national</w:t>
      </w:r>
      <w:r w:rsidRPr="00B3032A">
        <w:rPr>
          <w:rFonts w:ascii="Times New Roman" w:hAnsi="Times New Roman" w:cs="Times New Roman"/>
          <w:b/>
          <w:sz w:val="24"/>
          <w:szCs w:val="24"/>
        </w:rPr>
        <w:t xml:space="preserve"> coverage</w:t>
      </w:r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r w:rsidR="00EC552C" w:rsidRPr="00B3032A">
        <w:rPr>
          <w:rFonts w:ascii="Times New Roman" w:hAnsi="Times New Roman" w:cs="Times New Roman"/>
          <w:sz w:val="24"/>
          <w:szCs w:val="24"/>
        </w:rPr>
        <w:t xml:space="preserve">- includes the Audiovisual Media Service Providers </w:t>
      </w:r>
      <w:proofErr w:type="spellStart"/>
      <w:r w:rsidR="00231C14" w:rsidRPr="00B3032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31C14" w:rsidRPr="00B3032A">
        <w:rPr>
          <w:rFonts w:ascii="Times New Roman" w:hAnsi="Times New Roman" w:cs="Times New Roman"/>
          <w:sz w:val="24"/>
          <w:szCs w:val="24"/>
        </w:rPr>
        <w:t xml:space="preserve"> are</w:t>
      </w:r>
      <w:r w:rsidR="00EC552C"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2C" w:rsidRPr="00B3032A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="00EC552C"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2C" w:rsidRPr="00B3032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EC552C"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2C" w:rsidRPr="00B3032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EC552C"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2C" w:rsidRPr="00B3032A"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 w:rsidR="00EC552C" w:rsidRPr="00B3032A">
        <w:rPr>
          <w:rFonts w:ascii="Times New Roman" w:hAnsi="Times New Roman" w:cs="Times New Roman"/>
          <w:sz w:val="24"/>
          <w:szCs w:val="24"/>
        </w:rPr>
        <w:t xml:space="preserve"> operator.</w:t>
      </w:r>
    </w:p>
    <w:p w:rsidR="00B3032A" w:rsidRPr="00B3032A" w:rsidRDefault="00B3032A" w:rsidP="00B303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552C" w:rsidRDefault="00EC552C" w:rsidP="00B303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Category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4A" w:rsidRPr="00B3032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71259" w:rsidRPr="00B3032A">
        <w:rPr>
          <w:rFonts w:ascii="Times New Roman" w:hAnsi="Times New Roman" w:cs="Times New Roman"/>
          <w:b/>
          <w:sz w:val="24"/>
          <w:szCs w:val="24"/>
        </w:rPr>
        <w:t xml:space="preserve">AVMSP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regional coverage</w:t>
      </w:r>
      <w:r w:rsidRPr="00B3032A">
        <w:rPr>
          <w:rFonts w:ascii="Times New Roman" w:hAnsi="Times New Roman" w:cs="Times New Roman"/>
          <w:sz w:val="24"/>
          <w:szCs w:val="24"/>
        </w:rPr>
        <w:t xml:space="preserve"> - includes the Audiovisual Media Service Providers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operator.</w:t>
      </w:r>
    </w:p>
    <w:p w:rsidR="00B3032A" w:rsidRPr="00B3032A" w:rsidRDefault="00B3032A" w:rsidP="00B303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552C" w:rsidRPr="00B3032A" w:rsidRDefault="00D77189" w:rsidP="00B303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Category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4A" w:rsidRPr="00B3032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71259" w:rsidRPr="00B3032A">
        <w:rPr>
          <w:rFonts w:ascii="Times New Roman" w:hAnsi="Times New Roman" w:cs="Times New Roman"/>
          <w:b/>
          <w:sz w:val="24"/>
          <w:szCs w:val="24"/>
        </w:rPr>
        <w:t xml:space="preserve">AVMSP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32A" w:rsidRPr="00B3032A">
        <w:rPr>
          <w:rFonts w:ascii="Times New Roman" w:hAnsi="Times New Roman" w:cs="Times New Roman"/>
          <w:b/>
          <w:sz w:val="24"/>
          <w:szCs w:val="24"/>
        </w:rPr>
        <w:t>coverage</w:t>
      </w:r>
      <w:proofErr w:type="spellEnd"/>
      <w:r w:rsidR="00B3032A" w:rsidRPr="00B3032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B3032A" w:rsidRPr="00B3032A">
        <w:rPr>
          <w:rFonts w:ascii="Times New Roman" w:hAnsi="Times New Roman" w:cs="Times New Roman"/>
          <w:b/>
          <w:sz w:val="24"/>
          <w:szCs w:val="24"/>
        </w:rPr>
        <w:t>sub</w:t>
      </w:r>
      <w:proofErr w:type="spellEnd"/>
      <w:r w:rsidR="00B3032A" w:rsidRPr="00B3032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3032A" w:rsidRPr="00B3032A">
        <w:rPr>
          <w:rFonts w:ascii="Times New Roman" w:hAnsi="Times New Roman" w:cs="Times New Roman"/>
          <w:b/>
          <w:sz w:val="24"/>
          <w:szCs w:val="24"/>
        </w:rPr>
        <w:t>allotment</w:t>
      </w:r>
      <w:proofErr w:type="spellEnd"/>
      <w:r w:rsidR="00B3032A"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14" w:rsidRPr="00B3032A">
        <w:rPr>
          <w:rFonts w:ascii="Times New Roman" w:hAnsi="Times New Roman" w:cs="Times New Roman"/>
          <w:b/>
          <w:sz w:val="24"/>
          <w:szCs w:val="24"/>
        </w:rPr>
        <w:t>Prishtina</w:t>
      </w:r>
      <w:r w:rsidR="00B3032A"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the Audiovisual Media Service Providers which are distributed through operator of multiplex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 of</w:t>
      </w:r>
      <w:r w:rsidRPr="00B3032A">
        <w:rPr>
          <w:rFonts w:ascii="Times New Roman" w:hAnsi="Times New Roman" w:cs="Times New Roman"/>
          <w:sz w:val="24"/>
          <w:szCs w:val="24"/>
        </w:rPr>
        <w:t xml:space="preserve"> sub-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allotment </w:t>
      </w:r>
      <w:r w:rsidRPr="00B3032A">
        <w:rPr>
          <w:rFonts w:ascii="Times New Roman" w:hAnsi="Times New Roman" w:cs="Times New Roman"/>
          <w:sz w:val="24"/>
          <w:szCs w:val="24"/>
        </w:rPr>
        <w:t>of the capital</w:t>
      </w:r>
      <w:r w:rsidR="006A2F05" w:rsidRPr="00B3032A">
        <w:rPr>
          <w:rFonts w:ascii="Times New Roman" w:hAnsi="Times New Roman" w:cs="Times New Roman"/>
          <w:sz w:val="24"/>
          <w:szCs w:val="24"/>
        </w:rPr>
        <w:t xml:space="preserve"> city</w:t>
      </w:r>
      <w:r w:rsidRPr="00B3032A">
        <w:rPr>
          <w:rFonts w:ascii="Times New Roman" w:hAnsi="Times New Roman" w:cs="Times New Roman"/>
          <w:sz w:val="24"/>
          <w:szCs w:val="24"/>
        </w:rPr>
        <w:t>.</w:t>
      </w:r>
    </w:p>
    <w:p w:rsidR="00D77189" w:rsidRPr="00E71259" w:rsidRDefault="00FA509B" w:rsidP="00D7718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D77189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D77189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5                                                                                                                                          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CATEGORIZATION</w:t>
      </w:r>
      <w:r w:rsidR="00D77189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OF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AUDIOVISUAL MEDIA SERVICE</w:t>
      </w:r>
      <w:r w:rsidR="00D77189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PROVIDERS </w:t>
      </w:r>
      <w:r w:rsidR="005B1AE9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</w:t>
      </w:r>
      <w:r w:rsidR="00B303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AVMSP</w:t>
      </w:r>
      <w:r w:rsidR="005B1AE9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 WITH DISTRIBUTION THROUGH DISTIBUTION</w:t>
      </w:r>
      <w:r w:rsidR="00D77189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OPERATORS</w:t>
      </w:r>
      <w:proofErr w:type="gramEnd"/>
    </w:p>
    <w:p w:rsidR="0078257D" w:rsidRPr="00E71259" w:rsidRDefault="00D77189" w:rsidP="00B3032A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>Category</w:t>
      </w:r>
      <w:r w:rsidR="00B3032A">
        <w:rPr>
          <w:rFonts w:ascii="Times New Roman" w:hAnsi="Times New Roman" w:cs="Times New Roman"/>
          <w:sz w:val="24"/>
          <w:szCs w:val="24"/>
        </w:rPr>
        <w:t xml:space="preserve"> of</w:t>
      </w:r>
      <w:r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B3032A">
        <w:rPr>
          <w:rFonts w:ascii="Times New Roman" w:hAnsi="Times New Roman" w:cs="Times New Roman"/>
          <w:sz w:val="24"/>
          <w:szCs w:val="24"/>
        </w:rPr>
        <w:t>AVMSP</w:t>
      </w:r>
      <w:r w:rsidRPr="00E71259">
        <w:rPr>
          <w:rFonts w:ascii="Times New Roman" w:hAnsi="Times New Roman" w:cs="Times New Roman"/>
          <w:sz w:val="24"/>
          <w:szCs w:val="24"/>
        </w:rPr>
        <w:t xml:space="preserve"> with distribution through distribution operators includes all </w:t>
      </w:r>
      <w:r w:rsidR="00B3032A">
        <w:rPr>
          <w:rFonts w:ascii="Times New Roman" w:hAnsi="Times New Roman" w:cs="Times New Roman"/>
          <w:sz w:val="24"/>
          <w:szCs w:val="24"/>
        </w:rPr>
        <w:t>AVMSPs</w:t>
      </w:r>
      <w:r w:rsidRPr="00E71259">
        <w:rPr>
          <w:rFonts w:ascii="Times New Roman" w:hAnsi="Times New Roman" w:cs="Times New Roman"/>
          <w:sz w:val="24"/>
          <w:szCs w:val="24"/>
        </w:rPr>
        <w:t xml:space="preserve"> distributed through electronic communications networks,</w:t>
      </w:r>
      <w:r w:rsidR="003C72D4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B3032A">
        <w:rPr>
          <w:rFonts w:ascii="Times New Roman" w:hAnsi="Times New Roman" w:cs="Times New Roman"/>
          <w:sz w:val="24"/>
          <w:szCs w:val="24"/>
        </w:rPr>
        <w:t xml:space="preserve">which are not in </w:t>
      </w:r>
      <w:r w:rsidR="003C72D4" w:rsidRPr="00E71259">
        <w:rPr>
          <w:rFonts w:ascii="Times New Roman" w:hAnsi="Times New Roman" w:cs="Times New Roman"/>
          <w:sz w:val="24"/>
          <w:szCs w:val="24"/>
        </w:rPr>
        <w:t>the radio-diffusive band.</w:t>
      </w:r>
    </w:p>
    <w:p w:rsidR="0078257D" w:rsidRPr="00E71259" w:rsidRDefault="003C72D4" w:rsidP="0078257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78257D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78257D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6                                                                                                         </w:t>
      </w:r>
      <w:r w:rsidR="001E7658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CATEGORIZATION</w:t>
      </w:r>
      <w:r w:rsidR="0078257D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OF</w:t>
      </w:r>
      <w:r w:rsidR="001E7658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MULTIPLEX</w:t>
      </w:r>
      <w:r w:rsidR="0078257D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OPERATORS</w:t>
      </w:r>
      <w:proofErr w:type="gramEnd"/>
      <w:r w:rsidR="0078257D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78257D" w:rsidRDefault="00DE5BB3" w:rsidP="00B30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Multiplex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coverage</w:t>
      </w:r>
      <w:proofErr w:type="spellEnd"/>
      <w:r w:rsidR="00B3032A" w:rsidRPr="00B3032A">
        <w:rPr>
          <w:rFonts w:ascii="Times New Roman" w:hAnsi="Times New Roman" w:cs="Times New Roman"/>
          <w:sz w:val="24"/>
          <w:szCs w:val="24"/>
        </w:rPr>
        <w:t xml:space="preserve"> - </w:t>
      </w:r>
      <w:r w:rsidR="00863F5A" w:rsidRPr="00B3032A">
        <w:rPr>
          <w:rFonts w:ascii="Times New Roman" w:hAnsi="Times New Roman" w:cs="Times New Roman"/>
          <w:sz w:val="24"/>
          <w:szCs w:val="24"/>
        </w:rPr>
        <w:t>belongs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 to</w:t>
      </w:r>
      <w:r w:rsidRPr="00B3032A">
        <w:rPr>
          <w:rFonts w:ascii="Times New Roman" w:hAnsi="Times New Roman" w:cs="Times New Roman"/>
          <w:sz w:val="24"/>
          <w:szCs w:val="24"/>
        </w:rPr>
        <w:t xml:space="preserve"> multiplex operator licensed by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 the</w:t>
      </w:r>
      <w:r w:rsidRPr="00B3032A">
        <w:rPr>
          <w:rFonts w:ascii="Times New Roman" w:hAnsi="Times New Roman" w:cs="Times New Roman"/>
          <w:sz w:val="24"/>
          <w:szCs w:val="24"/>
        </w:rPr>
        <w:t xml:space="preserve"> IMC, wh</w:t>
      </w:r>
      <w:r w:rsidR="00B3032A" w:rsidRPr="00B3032A">
        <w:rPr>
          <w:rFonts w:ascii="Times New Roman" w:hAnsi="Times New Roman" w:cs="Times New Roman"/>
          <w:sz w:val="24"/>
          <w:szCs w:val="24"/>
        </w:rPr>
        <w:t>ich</w:t>
      </w:r>
      <w:r w:rsidRPr="00B3032A">
        <w:rPr>
          <w:rFonts w:ascii="Times New Roman" w:hAnsi="Times New Roman" w:cs="Times New Roman"/>
          <w:sz w:val="24"/>
          <w:szCs w:val="24"/>
        </w:rPr>
        <w:t xml:space="preserve"> through the Frequency Plan for Digital Television Terrestrial Broadcasting in 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the </w:t>
      </w:r>
      <w:r w:rsidR="001D25CA" w:rsidRPr="00B3032A">
        <w:rPr>
          <w:rFonts w:ascii="Times New Roman" w:hAnsi="Times New Roman" w:cs="Times New Roman"/>
          <w:sz w:val="24"/>
          <w:szCs w:val="24"/>
        </w:rPr>
        <w:t>Republic</w:t>
      </w:r>
      <w:r w:rsidR="00863F5A" w:rsidRPr="00B3032A">
        <w:rPr>
          <w:rFonts w:ascii="Times New Roman" w:hAnsi="Times New Roman" w:cs="Times New Roman"/>
          <w:sz w:val="24"/>
          <w:szCs w:val="24"/>
        </w:rPr>
        <w:t xml:space="preserve"> of </w:t>
      </w:r>
      <w:r w:rsidR="001D25CA" w:rsidRPr="00B3032A">
        <w:rPr>
          <w:rFonts w:ascii="Times New Roman" w:hAnsi="Times New Roman" w:cs="Times New Roman"/>
          <w:sz w:val="24"/>
          <w:szCs w:val="24"/>
        </w:rPr>
        <w:t>Kosovo covers</w:t>
      </w:r>
      <w:r w:rsidRPr="00B3032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D25CA" w:rsidRPr="00B3032A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1D25CA" w:rsidRPr="00B3032A">
        <w:rPr>
          <w:rFonts w:ascii="Times New Roman" w:hAnsi="Times New Roman" w:cs="Times New Roman"/>
          <w:sz w:val="24"/>
          <w:szCs w:val="24"/>
        </w:rPr>
        <w:t xml:space="preserve"> of Kosovo</w:t>
      </w:r>
      <w:r w:rsidRPr="00B3032A">
        <w:rPr>
          <w:rFonts w:ascii="Times New Roman" w:hAnsi="Times New Roman" w:cs="Times New Roman"/>
          <w:sz w:val="24"/>
          <w:szCs w:val="24"/>
        </w:rPr>
        <w:t>.</w:t>
      </w:r>
    </w:p>
    <w:p w:rsidR="00B3032A" w:rsidRPr="00B3032A" w:rsidRDefault="00B3032A" w:rsidP="00B303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3032A" w:rsidRPr="00B3032A" w:rsidRDefault="00DE5BB3" w:rsidP="00B30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lastRenderedPageBreak/>
        <w:t>Multiplex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regional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coverage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 xml:space="preserve"> - </w:t>
      </w:r>
      <w:r w:rsidR="001D25CA" w:rsidRPr="00B3032A">
        <w:rPr>
          <w:rFonts w:ascii="Times New Roman" w:hAnsi="Times New Roman" w:cs="Times New Roman"/>
          <w:sz w:val="24"/>
          <w:szCs w:val="24"/>
        </w:rPr>
        <w:t>belongs</w:t>
      </w:r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to </w:t>
      </w:r>
      <w:r w:rsidRPr="00B3032A">
        <w:rPr>
          <w:rFonts w:ascii="Times New Roman" w:hAnsi="Times New Roman" w:cs="Times New Roman"/>
          <w:sz w:val="24"/>
          <w:szCs w:val="24"/>
        </w:rPr>
        <w:t>multiplex operator licensed by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 the IMC, which</w:t>
      </w:r>
      <w:r w:rsidRPr="00B3032A">
        <w:rPr>
          <w:rFonts w:ascii="Times New Roman" w:hAnsi="Times New Roman" w:cs="Times New Roman"/>
          <w:sz w:val="24"/>
          <w:szCs w:val="24"/>
        </w:rPr>
        <w:t xml:space="preserve"> through the Frequency Plan for Digital Television Terrestrial Broadcasting in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 the</w:t>
      </w:r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r w:rsidR="0070582A" w:rsidRPr="00B3032A">
        <w:rPr>
          <w:rFonts w:ascii="Times New Roman" w:hAnsi="Times New Roman" w:cs="Times New Roman"/>
          <w:sz w:val="24"/>
          <w:szCs w:val="24"/>
        </w:rPr>
        <w:t>Republic of Kosovo covers</w:t>
      </w:r>
      <w:r w:rsidRPr="00B3032A">
        <w:rPr>
          <w:rFonts w:ascii="Times New Roman" w:hAnsi="Times New Roman" w:cs="Times New Roman"/>
          <w:sz w:val="24"/>
          <w:szCs w:val="24"/>
        </w:rPr>
        <w:t xml:space="preserve"> the entire territory of the relevant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3032A">
        <w:rPr>
          <w:rFonts w:ascii="Times New Roman" w:hAnsi="Times New Roman" w:cs="Times New Roman"/>
          <w:sz w:val="24"/>
          <w:szCs w:val="24"/>
        </w:rPr>
        <w:t>.</w:t>
      </w:r>
    </w:p>
    <w:p w:rsidR="00B3032A" w:rsidRPr="00B3032A" w:rsidRDefault="00B3032A" w:rsidP="00B303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E5BB3" w:rsidRPr="00B3032A" w:rsidRDefault="00DE5BB3" w:rsidP="00B30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Multiplex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32A" w:rsidRPr="00B3032A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B3032A" w:rsidRPr="00B30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32A" w:rsidRPr="00B3032A">
        <w:rPr>
          <w:rFonts w:ascii="Times New Roman" w:hAnsi="Times New Roman" w:cs="Times New Roman"/>
          <w:b/>
          <w:sz w:val="24"/>
          <w:szCs w:val="24"/>
        </w:rPr>
        <w:t>coverage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B3032A">
        <w:rPr>
          <w:rFonts w:ascii="Times New Roman" w:hAnsi="Times New Roman" w:cs="Times New Roman"/>
          <w:b/>
          <w:sz w:val="24"/>
          <w:szCs w:val="24"/>
        </w:rPr>
        <w:t>sub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3032A" w:rsidRPr="00B3032A">
        <w:rPr>
          <w:rFonts w:ascii="Times New Roman" w:hAnsi="Times New Roman" w:cs="Times New Roman"/>
          <w:b/>
          <w:sz w:val="24"/>
          <w:szCs w:val="24"/>
        </w:rPr>
        <w:t>allotment</w:t>
      </w:r>
      <w:proofErr w:type="spellEnd"/>
      <w:r w:rsidRPr="00B3032A">
        <w:rPr>
          <w:rFonts w:ascii="Times New Roman" w:hAnsi="Times New Roman" w:cs="Times New Roman"/>
          <w:b/>
          <w:sz w:val="24"/>
          <w:szCs w:val="24"/>
        </w:rPr>
        <w:t xml:space="preserve"> Prishtina</w:t>
      </w:r>
      <w:r w:rsidRPr="00B3032A">
        <w:rPr>
          <w:rFonts w:ascii="Times New Roman" w:hAnsi="Times New Roman" w:cs="Times New Roman"/>
          <w:sz w:val="24"/>
          <w:szCs w:val="24"/>
        </w:rPr>
        <w:t xml:space="preserve"> 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32A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="00B3032A" w:rsidRPr="00B3032A">
        <w:rPr>
          <w:rFonts w:ascii="Times New Roman" w:hAnsi="Times New Roman" w:cs="Times New Roman"/>
          <w:sz w:val="24"/>
          <w:szCs w:val="24"/>
        </w:rPr>
        <w:t xml:space="preserve"> to</w:t>
      </w:r>
      <w:r w:rsidRPr="00B3032A">
        <w:rPr>
          <w:rFonts w:ascii="Times New Roman" w:hAnsi="Times New Roman" w:cs="Times New Roman"/>
          <w:sz w:val="24"/>
          <w:szCs w:val="24"/>
        </w:rPr>
        <w:t xml:space="preserve"> multiplex operator licensed by 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the </w:t>
      </w:r>
      <w:r w:rsidRPr="00B3032A">
        <w:rPr>
          <w:rFonts w:ascii="Times New Roman" w:hAnsi="Times New Roman" w:cs="Times New Roman"/>
          <w:sz w:val="24"/>
          <w:szCs w:val="24"/>
        </w:rPr>
        <w:t>IMC, wh</w:t>
      </w:r>
      <w:r w:rsidR="00B3032A" w:rsidRPr="00B3032A">
        <w:rPr>
          <w:rFonts w:ascii="Times New Roman" w:hAnsi="Times New Roman" w:cs="Times New Roman"/>
          <w:sz w:val="24"/>
          <w:szCs w:val="24"/>
        </w:rPr>
        <w:t>ich</w:t>
      </w:r>
      <w:r w:rsidRPr="00B3032A">
        <w:rPr>
          <w:rFonts w:ascii="Times New Roman" w:hAnsi="Times New Roman" w:cs="Times New Roman"/>
          <w:sz w:val="24"/>
          <w:szCs w:val="24"/>
        </w:rPr>
        <w:t xml:space="preserve"> through the Frequency Plan for Digital Television Terrestrial Broadcasting in </w:t>
      </w:r>
      <w:r w:rsidR="00B3032A" w:rsidRPr="00B3032A">
        <w:rPr>
          <w:rFonts w:ascii="Times New Roman" w:hAnsi="Times New Roman" w:cs="Times New Roman"/>
          <w:sz w:val="24"/>
          <w:szCs w:val="24"/>
        </w:rPr>
        <w:t xml:space="preserve">the </w:t>
      </w:r>
      <w:r w:rsidR="0070582A" w:rsidRPr="00B3032A">
        <w:rPr>
          <w:rFonts w:ascii="Times New Roman" w:hAnsi="Times New Roman" w:cs="Times New Roman"/>
          <w:sz w:val="24"/>
          <w:szCs w:val="24"/>
        </w:rPr>
        <w:t xml:space="preserve">Republic of Kosovo </w:t>
      </w:r>
      <w:r w:rsidR="00BF2BF8" w:rsidRPr="00B3032A">
        <w:rPr>
          <w:rFonts w:ascii="Times New Roman" w:hAnsi="Times New Roman" w:cs="Times New Roman"/>
          <w:sz w:val="24"/>
          <w:szCs w:val="24"/>
        </w:rPr>
        <w:t>covers</w:t>
      </w:r>
      <w:r w:rsidRPr="00B3032A">
        <w:rPr>
          <w:rFonts w:ascii="Times New Roman" w:hAnsi="Times New Roman" w:cs="Times New Roman"/>
          <w:sz w:val="24"/>
          <w:szCs w:val="24"/>
        </w:rPr>
        <w:t xml:space="preserve"> the entire territory of the relevant sub-</w:t>
      </w:r>
      <w:r w:rsidR="00B3032A" w:rsidRPr="00B3032A">
        <w:rPr>
          <w:rFonts w:ascii="Times New Roman" w:hAnsi="Times New Roman" w:cs="Times New Roman"/>
          <w:sz w:val="24"/>
          <w:szCs w:val="24"/>
        </w:rPr>
        <w:t>allotment</w:t>
      </w:r>
      <w:r w:rsidRPr="00B3032A">
        <w:rPr>
          <w:rFonts w:ascii="Times New Roman" w:hAnsi="Times New Roman" w:cs="Times New Roman"/>
          <w:sz w:val="24"/>
          <w:szCs w:val="24"/>
        </w:rPr>
        <w:t>.</w:t>
      </w:r>
    </w:p>
    <w:p w:rsidR="00C504CC" w:rsidRPr="00E71259" w:rsidRDefault="00C504CC" w:rsidP="00C504C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7                                                                                                                                ANNUAL LICENSE FEES FOR AUDIO MEDIA SERVICE PROVIDERS </w:t>
      </w:r>
      <w:r w:rsidR="00BF2BF8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WITH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TERRESTRIAL ANALOG </w:t>
      </w:r>
      <w:r w:rsidR="00FB60A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BROADCASTING</w:t>
      </w:r>
    </w:p>
    <w:p w:rsidR="00C504CC" w:rsidRPr="00E71259" w:rsidRDefault="004B3719" w:rsidP="004B37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>The level of the annual fee for audio media se</w:t>
      </w:r>
      <w:r w:rsidR="004D11C8" w:rsidRPr="00E71259">
        <w:rPr>
          <w:rFonts w:ascii="Times New Roman" w:hAnsi="Times New Roman" w:cs="Times New Roman"/>
          <w:sz w:val="24"/>
          <w:szCs w:val="24"/>
        </w:rPr>
        <w:t>rvice providers that operate through</w:t>
      </w:r>
      <w:r w:rsidRPr="00E71259">
        <w:rPr>
          <w:rFonts w:ascii="Times New Roman" w:hAnsi="Times New Roman" w:cs="Times New Roman"/>
          <w:sz w:val="24"/>
          <w:szCs w:val="24"/>
        </w:rPr>
        <w:t xml:space="preserve"> analog terrestrial broadcasting is defined as follows:</w:t>
      </w: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2A656E" w:rsidRPr="00E71259" w:rsidTr="0046080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A656E" w:rsidRPr="00E71259" w:rsidRDefault="004D11C8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audiovisual media service providers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A656E" w:rsidRPr="00E71259" w:rsidRDefault="0007121D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  <w:r w:rsidR="002A656E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(Euro) </w:t>
            </w:r>
          </w:p>
        </w:tc>
      </w:tr>
      <w:tr w:rsidR="002A656E" w:rsidRPr="00E71259" w:rsidTr="00460801">
        <w:trPr>
          <w:trHeight w:val="398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A656E" w:rsidRPr="00E71259" w:rsidRDefault="00F870D7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>Low-power 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A656E" w:rsidRPr="00E71259" w:rsidRDefault="002A656E" w:rsidP="0046080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140.00 (€)</w:t>
            </w:r>
          </w:p>
        </w:tc>
      </w:tr>
      <w:tr w:rsidR="002A656E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A656E" w:rsidRPr="00E71259" w:rsidRDefault="00F870D7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>Local 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A656E" w:rsidRPr="00E71259" w:rsidRDefault="002A656E" w:rsidP="0046080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350.00  (€)</w:t>
            </w:r>
          </w:p>
        </w:tc>
      </w:tr>
      <w:tr w:rsidR="002A656E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A656E" w:rsidRPr="00E71259" w:rsidRDefault="00F870D7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A656E" w:rsidRPr="00E71259" w:rsidRDefault="002A656E" w:rsidP="0046080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700.00  (€)</w:t>
            </w:r>
          </w:p>
        </w:tc>
      </w:tr>
      <w:tr w:rsidR="002A656E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A656E" w:rsidRPr="00E71259" w:rsidRDefault="00F870D7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A656E" w:rsidRPr="00E71259" w:rsidRDefault="002A656E" w:rsidP="0046080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5,600.00  (€)</w:t>
            </w:r>
          </w:p>
        </w:tc>
      </w:tr>
    </w:tbl>
    <w:p w:rsidR="002A656E" w:rsidRPr="00E71259" w:rsidRDefault="002A656E" w:rsidP="004B3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5E" w:rsidRPr="00E71259" w:rsidRDefault="003151FF" w:rsidP="0097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8                                                                                                                       </w:t>
      </w:r>
      <w:r w:rsidR="00976B5E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ANNUAL LICENSE FEES FOR AUDIO</w:t>
      </w:r>
      <w:r w:rsidR="008E2D9F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VISUAL</w:t>
      </w:r>
      <w:r w:rsidR="00976B5E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MEDIA SERVICE PROVIDERS WITH TERRESTRIAL ANALOG </w:t>
      </w:r>
      <w:r w:rsidR="00FB60A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BROADCASTING</w:t>
      </w:r>
      <w:r w:rsidR="00FB60A5" w:rsidRPr="00E7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FF" w:rsidRPr="00E71259" w:rsidRDefault="003151FF" w:rsidP="00976B5E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>The level of annual fee for audiovisual media service providers that operate</w:t>
      </w:r>
      <w:r w:rsidR="008E2D9F" w:rsidRPr="00E71259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E71259">
        <w:rPr>
          <w:rFonts w:ascii="Times New Roman" w:hAnsi="Times New Roman" w:cs="Times New Roman"/>
          <w:sz w:val="24"/>
          <w:szCs w:val="24"/>
        </w:rPr>
        <w:t>analog terrestrial broadcasting is defined as follows:</w:t>
      </w:r>
    </w:p>
    <w:tbl>
      <w:tblPr>
        <w:tblW w:w="9346" w:type="dxa"/>
        <w:tblInd w:w="108" w:type="dxa"/>
        <w:tblLayout w:type="fixed"/>
        <w:tblLook w:val="04A0"/>
      </w:tblPr>
      <w:tblGrid>
        <w:gridCol w:w="6656"/>
        <w:gridCol w:w="2690"/>
      </w:tblGrid>
      <w:tr w:rsidR="00A81395" w:rsidRPr="00E71259" w:rsidTr="00460801">
        <w:trPr>
          <w:trHeight w:val="323"/>
        </w:trPr>
        <w:tc>
          <w:tcPr>
            <w:tcW w:w="6656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A81395" w:rsidRPr="00E71259" w:rsidRDefault="0007121D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audiovisual media service providers</w:t>
            </w:r>
          </w:p>
        </w:tc>
        <w:tc>
          <w:tcPr>
            <w:tcW w:w="2690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A81395" w:rsidRPr="00E71259" w:rsidRDefault="0007121D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  <w:r w:rsidR="00A81395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(Euro) </w:t>
            </w:r>
          </w:p>
        </w:tc>
      </w:tr>
      <w:tr w:rsidR="00A81395" w:rsidRPr="00E71259" w:rsidTr="00460801">
        <w:trPr>
          <w:trHeight w:val="295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A81395" w:rsidRPr="00E71259" w:rsidRDefault="00253437" w:rsidP="0025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Low-power </w:t>
            </w:r>
            <w:r w:rsidR="00A81395"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A81395" w:rsidRPr="00E71259" w:rsidRDefault="00A81395" w:rsidP="00460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210.00 (€)</w:t>
            </w:r>
          </w:p>
        </w:tc>
      </w:tr>
      <w:tr w:rsidR="00A81395" w:rsidRPr="00E71259" w:rsidTr="00460801">
        <w:trPr>
          <w:trHeight w:val="309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A81395" w:rsidRPr="00E71259" w:rsidRDefault="00253437" w:rsidP="0025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 </w:t>
            </w:r>
            <w:r w:rsidR="00A81395"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A81395" w:rsidRPr="00E71259" w:rsidRDefault="00A81395" w:rsidP="0046080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560.00 (€)</w:t>
            </w:r>
          </w:p>
        </w:tc>
      </w:tr>
      <w:tr w:rsidR="00A81395" w:rsidRPr="00E71259" w:rsidTr="00460801">
        <w:trPr>
          <w:trHeight w:val="309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A81395" w:rsidRPr="00E71259" w:rsidRDefault="00253437" w:rsidP="0025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Regional </w:t>
            </w:r>
            <w:r w:rsidR="00A81395"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A81395" w:rsidRPr="00E71259" w:rsidRDefault="00A81395" w:rsidP="0046080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1,050.00 (€)</w:t>
            </w:r>
          </w:p>
        </w:tc>
      </w:tr>
      <w:tr w:rsidR="00A81395" w:rsidRPr="00E71259" w:rsidTr="00460801">
        <w:trPr>
          <w:trHeight w:val="309"/>
        </w:trPr>
        <w:tc>
          <w:tcPr>
            <w:tcW w:w="6656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A81395" w:rsidRPr="00E71259" w:rsidRDefault="00253437" w:rsidP="0025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A81395"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A81395" w:rsidRPr="00E71259" w:rsidRDefault="00A81395" w:rsidP="0046080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7,000.00 (€)</w:t>
            </w:r>
          </w:p>
        </w:tc>
      </w:tr>
    </w:tbl>
    <w:p w:rsidR="00A81395" w:rsidRPr="00E71259" w:rsidRDefault="00A81395" w:rsidP="0031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2E7" w:rsidRPr="00E71259" w:rsidRDefault="00341061" w:rsidP="00E912E7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</w:t>
      </w:r>
      <w:proofErr w:type="gramStart"/>
      <w:r w:rsidR="00E912E7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9                                                                                                                                           </w:t>
      </w:r>
      <w:r w:rsidR="009C7B43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CATEGORIZATION</w:t>
      </w:r>
      <w:r w:rsidR="00E912E7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9C7B43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OF AUDIOVISUAL MEDIA SERVICE </w:t>
      </w:r>
      <w:r w:rsidR="00E912E7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PROVIDERS </w:t>
      </w:r>
      <w:r w:rsidR="009C7B43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AMSP</w:t>
      </w:r>
      <w:r w:rsidR="00E912E7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 WITH DISTRIBUTION THROUGH TERRESTRIAL DIGITAL BROADCASTING</w:t>
      </w:r>
      <w:proofErr w:type="gramEnd"/>
    </w:p>
    <w:p w:rsidR="00E912E7" w:rsidRPr="00E71259" w:rsidRDefault="00E912E7" w:rsidP="00E912E7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lastRenderedPageBreak/>
        <w:t>The level of annual fee for audiovisual media service providers with distribution through the multiplex operator is defined as follows:</w:t>
      </w: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E912E7" w:rsidRPr="00E71259" w:rsidTr="0046080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E912E7" w:rsidRPr="00E71259" w:rsidRDefault="003B3270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MSP Category</w:t>
            </w:r>
            <w:r w:rsidR="00E912E7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E912E7" w:rsidRPr="00E71259" w:rsidRDefault="003B3270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  <w:r w:rsidR="00E912E7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(Euro)  </w:t>
            </w:r>
          </w:p>
        </w:tc>
      </w:tr>
      <w:tr w:rsidR="00E912E7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E912E7" w:rsidRPr="00E71259" w:rsidRDefault="00EE56AC" w:rsidP="0060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MSP with </w:t>
            </w:r>
            <w:r w:rsidR="00341061"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broadcasting</w:t>
            </w: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6FF0"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national</w:t>
            </w: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12E7"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MUX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E912E7" w:rsidRPr="00E71259" w:rsidRDefault="00E912E7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2,500.00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12E7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E912E7" w:rsidRPr="00E71259" w:rsidRDefault="00E84B9B" w:rsidP="0034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MSP with </w:t>
            </w:r>
            <w:r w:rsidR="00341061"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broadcasting</w:t>
            </w: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 regional MUX </w:t>
            </w:r>
            <w:r w:rsidR="00E912E7"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341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sub-allotment </w:t>
            </w:r>
            <w:proofErr w:type="spellStart"/>
            <w:r w:rsidR="00E912E7"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Prishtina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E912E7" w:rsidRPr="00E71259" w:rsidRDefault="00E912E7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912E7" w:rsidRPr="00E71259" w:rsidRDefault="00E912E7" w:rsidP="00E91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D0" w:rsidRPr="00E71259" w:rsidRDefault="001015D0" w:rsidP="001015D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10                                                                                                                                 ANNUAL LICENSE FEES FOR </w:t>
      </w:r>
      <w:r w:rsidR="00DA28C6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MEDIA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SERVICE PROVIDERS</w:t>
      </w:r>
      <w:r w:rsidR="00DA28C6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WH</w:t>
      </w:r>
      <w:r w:rsidR="00F503E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ICH</w:t>
      </w:r>
      <w:r w:rsidR="00DA28C6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OPERATE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THROUGH DISTRIBUTION OPERATORS</w:t>
      </w:r>
    </w:p>
    <w:p w:rsidR="001015D0" w:rsidRPr="00E71259" w:rsidRDefault="005E20A6" w:rsidP="001015D0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 xml:space="preserve">The level of annual fee </w:t>
      </w:r>
      <w:r w:rsidR="008149D8" w:rsidRPr="00E71259">
        <w:rPr>
          <w:rFonts w:ascii="Times New Roman" w:hAnsi="Times New Roman" w:cs="Times New Roman"/>
          <w:sz w:val="24"/>
          <w:szCs w:val="24"/>
        </w:rPr>
        <w:t xml:space="preserve">for </w:t>
      </w:r>
      <w:r w:rsidR="00A24631" w:rsidRPr="00E71259">
        <w:rPr>
          <w:rFonts w:ascii="Times New Roman" w:hAnsi="Times New Roman" w:cs="Times New Roman"/>
          <w:sz w:val="24"/>
          <w:szCs w:val="24"/>
        </w:rPr>
        <w:t>audio and audiovisual media services providers wh</w:t>
      </w:r>
      <w:r w:rsidR="00F503E8">
        <w:rPr>
          <w:rFonts w:ascii="Times New Roman" w:hAnsi="Times New Roman" w:cs="Times New Roman"/>
          <w:sz w:val="24"/>
          <w:szCs w:val="24"/>
        </w:rPr>
        <w:t>ich</w:t>
      </w:r>
      <w:r w:rsidR="00A24631" w:rsidRPr="00E71259">
        <w:rPr>
          <w:rFonts w:ascii="Times New Roman" w:hAnsi="Times New Roman" w:cs="Times New Roman"/>
          <w:sz w:val="24"/>
          <w:szCs w:val="24"/>
        </w:rPr>
        <w:t xml:space="preserve"> operate through distribution</w:t>
      </w:r>
      <w:r w:rsidR="008149D8" w:rsidRPr="00E71259">
        <w:rPr>
          <w:rFonts w:ascii="Times New Roman" w:hAnsi="Times New Roman" w:cs="Times New Roman"/>
          <w:sz w:val="24"/>
          <w:szCs w:val="24"/>
        </w:rPr>
        <w:t xml:space="preserve"> operators is defined as follows:</w:t>
      </w: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FA3E2C" w:rsidRPr="00E71259" w:rsidTr="0046080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FA3E2C" w:rsidRPr="00E71259" w:rsidRDefault="008149D8" w:rsidP="002E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Audio and audiovisual media services providers </w:t>
            </w:r>
            <w:r w:rsidR="002E0B0F" w:rsidRPr="00E7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E71259">
              <w:rPr>
                <w:rFonts w:ascii="Times New Roman" w:hAnsi="Times New Roman" w:cs="Times New Roman"/>
                <w:b/>
                <w:sz w:val="24"/>
                <w:szCs w:val="24"/>
              </w:rPr>
              <w:t>through distribution operators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FA3E2C" w:rsidRPr="00E71259" w:rsidRDefault="00740CB4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  <w:r w:rsidR="00FA3E2C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(Euro)   </w:t>
            </w:r>
          </w:p>
        </w:tc>
      </w:tr>
      <w:tr w:rsidR="00FA3E2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FA3E2C" w:rsidRPr="00E71259" w:rsidRDefault="00FA3E2C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FA3E2C" w:rsidRPr="00E71259" w:rsidRDefault="00FA3E2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  <w:r w:rsidRPr="00E7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3E2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FA3E2C" w:rsidRPr="00E71259" w:rsidRDefault="00FA3E2C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FA3E2C" w:rsidRPr="00E71259" w:rsidRDefault="00FA3E2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€) </w:t>
            </w:r>
          </w:p>
        </w:tc>
      </w:tr>
    </w:tbl>
    <w:p w:rsidR="00687CC9" w:rsidRPr="00E71259" w:rsidRDefault="00687CC9" w:rsidP="00101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EAC" w:rsidRPr="00E71259" w:rsidRDefault="00A20292" w:rsidP="00946EAC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11                                                                                                                             ANNUAL LICENSE FEES FOR </w:t>
      </w:r>
      <w:r w:rsidR="0016272D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DISTRIBUTION OPERATORS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16272D" w:rsidRPr="00E71259" w:rsidRDefault="0016272D" w:rsidP="00946EAC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Pr="00E71259">
        <w:rPr>
          <w:rFonts w:ascii="Times New Roman" w:hAnsi="Times New Roman" w:cs="Times New Roman"/>
          <w:sz w:val="24"/>
          <w:szCs w:val="24"/>
        </w:rPr>
        <w:t xml:space="preserve">. The amount of the annual license fee for </w:t>
      </w:r>
      <w:r w:rsidR="00F503E8" w:rsidRPr="00E71259">
        <w:rPr>
          <w:rFonts w:ascii="Times New Roman" w:hAnsi="Times New Roman" w:cs="Times New Roman"/>
          <w:sz w:val="24"/>
          <w:szCs w:val="24"/>
        </w:rPr>
        <w:t xml:space="preserve">cable </w:t>
      </w:r>
      <w:r w:rsidRPr="00E71259">
        <w:rPr>
          <w:rFonts w:ascii="Times New Roman" w:hAnsi="Times New Roman" w:cs="Times New Roman"/>
          <w:sz w:val="24"/>
          <w:szCs w:val="24"/>
        </w:rPr>
        <w:t>distribution operators and IPTV distribution operators will be calculated according to the population in areas of service:</w:t>
      </w: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946EAC" w:rsidRPr="00E71259" w:rsidTr="0046080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946EAC" w:rsidRPr="00E71259" w:rsidRDefault="00C57B35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Distribution operators (cable, IPTV)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946EAC" w:rsidRPr="00E71259" w:rsidRDefault="00C57B35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  <w:r w:rsidR="00946EAC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(Euro)  </w:t>
            </w:r>
            <w:r w:rsidR="00946EAC"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EA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946EAC" w:rsidRPr="00E71259" w:rsidRDefault="00C57B35" w:rsidP="00C5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1.000 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946EAC" w:rsidRPr="00E71259" w:rsidRDefault="00946EA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946EA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946EAC" w:rsidRPr="00E71259" w:rsidRDefault="00C57B35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1.000 – 10.000 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946EAC" w:rsidRPr="00E71259" w:rsidRDefault="00946EA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946EA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946EAC" w:rsidRPr="00E71259" w:rsidRDefault="00073768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10.000 – 50.000 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946EAC" w:rsidRPr="00E71259" w:rsidRDefault="00946EA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946EA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946EAC" w:rsidRPr="00E71259" w:rsidRDefault="00073768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50.000 – 100.000 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946EAC" w:rsidRPr="00E71259" w:rsidRDefault="00946EA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946EA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946EAC" w:rsidRPr="00E71259" w:rsidRDefault="00073768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100.000 – 200.000 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946EAC" w:rsidRPr="00E71259" w:rsidRDefault="00946EA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2,500.00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946EA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946EAC" w:rsidRPr="00E71259" w:rsidRDefault="00073768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>200.000 – 250.000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residents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946EAC" w:rsidRPr="00E71259" w:rsidRDefault="00946EA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5,000.00 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  <w:tr w:rsidR="00946EAC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946EAC" w:rsidRPr="00E71259" w:rsidRDefault="00073768" w:rsidP="0046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="00946EAC" w:rsidRPr="00E71259">
              <w:rPr>
                <w:rFonts w:ascii="Times New Roman" w:hAnsi="Times New Roman" w:cs="Times New Roman"/>
                <w:sz w:val="24"/>
                <w:szCs w:val="24"/>
              </w:rPr>
              <w:t xml:space="preserve"> 250.000 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946EAC" w:rsidRPr="00E71259" w:rsidRDefault="00946EAC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20,000.00 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€)</w:t>
            </w:r>
          </w:p>
        </w:tc>
      </w:tr>
    </w:tbl>
    <w:p w:rsidR="0016272D" w:rsidRPr="00E71259" w:rsidRDefault="0016272D" w:rsidP="00946EAC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74FE4" w:rsidRPr="00E71259" w:rsidRDefault="00946EAC" w:rsidP="001015D0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 xml:space="preserve">II. </w:t>
      </w:r>
      <w:r w:rsidR="00687CC9" w:rsidRPr="00E71259">
        <w:rPr>
          <w:rFonts w:ascii="Times New Roman" w:hAnsi="Times New Roman" w:cs="Times New Roman"/>
          <w:sz w:val="24"/>
          <w:szCs w:val="24"/>
        </w:rPr>
        <w:t xml:space="preserve">The amount of the annual fee for OTT distribution operators </w:t>
      </w:r>
      <w:r w:rsidR="001251D3" w:rsidRPr="00E71259">
        <w:rPr>
          <w:rFonts w:ascii="Times New Roman" w:hAnsi="Times New Roman" w:cs="Times New Roman"/>
          <w:sz w:val="24"/>
          <w:szCs w:val="24"/>
        </w:rPr>
        <w:t xml:space="preserve">is </w:t>
      </w:r>
      <w:r w:rsidR="00687CC9" w:rsidRPr="00E71259">
        <w:rPr>
          <w:rFonts w:ascii="Times New Roman" w:hAnsi="Times New Roman" w:cs="Times New Roman"/>
          <w:sz w:val="24"/>
          <w:szCs w:val="24"/>
        </w:rPr>
        <w:t>defined as follows:</w:t>
      </w: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687CC9" w:rsidRPr="00E71259" w:rsidTr="0046080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687CC9" w:rsidRPr="00E71259" w:rsidRDefault="001251D3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Distribution operators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687CC9" w:rsidRPr="00E71259" w:rsidRDefault="001251D3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  <w:r w:rsidR="00687CC9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(Euro)     </w:t>
            </w:r>
          </w:p>
        </w:tc>
      </w:tr>
      <w:tr w:rsidR="00687CC9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687CC9" w:rsidRPr="00E71259" w:rsidRDefault="00687CC9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>OTT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687CC9" w:rsidRPr="00E71259" w:rsidRDefault="00687CC9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5.000,00 </w:t>
            </w:r>
            <w:r w:rsidRPr="00E71259">
              <w:rPr>
                <w:rFonts w:ascii="Times New Roman" w:hAnsi="Times New Roman" w:cs="Times New Roman"/>
              </w:rPr>
              <w:t>(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</w:tbl>
    <w:p w:rsidR="00687CC9" w:rsidRPr="00E71259" w:rsidRDefault="00687CC9" w:rsidP="00101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97E" w:rsidRPr="00E71259" w:rsidRDefault="00946EAC" w:rsidP="001015D0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8B597E" w:rsidRPr="00E71259">
        <w:rPr>
          <w:rFonts w:ascii="Times New Roman" w:hAnsi="Times New Roman" w:cs="Times New Roman"/>
          <w:sz w:val="24"/>
          <w:szCs w:val="24"/>
        </w:rPr>
        <w:t xml:space="preserve">The amount of the annual fee for distribution operators through satellite </w:t>
      </w:r>
      <w:r w:rsidR="00F503E8">
        <w:rPr>
          <w:rFonts w:ascii="Times New Roman" w:hAnsi="Times New Roman" w:cs="Times New Roman"/>
          <w:sz w:val="24"/>
          <w:szCs w:val="24"/>
        </w:rPr>
        <w:t>broadcasting</w:t>
      </w:r>
      <w:r w:rsidR="008B597E" w:rsidRPr="00E71259">
        <w:rPr>
          <w:rFonts w:ascii="Times New Roman" w:hAnsi="Times New Roman" w:cs="Times New Roman"/>
          <w:sz w:val="24"/>
          <w:szCs w:val="24"/>
        </w:rPr>
        <w:t xml:space="preserve"> is </w:t>
      </w:r>
      <w:r w:rsidR="004576F3" w:rsidRPr="00E71259">
        <w:rPr>
          <w:rFonts w:ascii="Times New Roman" w:hAnsi="Times New Roman" w:cs="Times New Roman"/>
          <w:sz w:val="24"/>
          <w:szCs w:val="24"/>
        </w:rPr>
        <w:t>defined</w:t>
      </w:r>
      <w:r w:rsidR="008B597E" w:rsidRPr="00E71259">
        <w:rPr>
          <w:rFonts w:ascii="Times New Roman" w:hAnsi="Times New Roman" w:cs="Times New Roman"/>
          <w:sz w:val="24"/>
          <w:szCs w:val="24"/>
        </w:rPr>
        <w:t xml:space="preserve"> as follows:</w:t>
      </w: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8B597E" w:rsidRPr="00E71259" w:rsidTr="00460801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8B597E" w:rsidRPr="00E71259" w:rsidRDefault="001251D3" w:rsidP="0046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Distribution operators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8B597E" w:rsidRPr="00E71259" w:rsidRDefault="001251D3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  <w:r w:rsidR="008B597E" w:rsidRPr="00E7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(Euro)   </w:t>
            </w:r>
          </w:p>
        </w:tc>
      </w:tr>
      <w:tr w:rsidR="008B597E" w:rsidRPr="00E71259" w:rsidTr="00460801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8B597E" w:rsidRPr="00E71259" w:rsidRDefault="00F503E8" w:rsidP="00F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operators through satellite broadcasting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8B597E" w:rsidRPr="00E71259" w:rsidRDefault="008B597E" w:rsidP="0046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1,500.00 </w:t>
            </w:r>
            <w:r w:rsidRPr="00E712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7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  <w:r w:rsidRPr="00E71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597E" w:rsidRPr="00E71259" w:rsidRDefault="008B597E" w:rsidP="00101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97E" w:rsidRPr="00E71259" w:rsidRDefault="008B597E" w:rsidP="008B597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12                                                                                                                            ANNUAL LICENSE FEES </w:t>
      </w:r>
      <w:r w:rsidR="00457B96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FOR MULTIPLEX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OPERATORS </w:t>
      </w:r>
    </w:p>
    <w:p w:rsidR="008B597E" w:rsidRDefault="009351FF" w:rsidP="009C10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0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operators at the state level will be determined in the tender material for the licensing of two multiplexes </w:t>
      </w:r>
      <w:r w:rsidR="00CF10DD" w:rsidRPr="009C108A">
        <w:rPr>
          <w:rFonts w:ascii="Times New Roman" w:hAnsi="Times New Roman" w:cs="Times New Roman"/>
          <w:sz w:val="24"/>
          <w:szCs w:val="24"/>
        </w:rPr>
        <w:t>according</w:t>
      </w:r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r w:rsidR="009C108A" w:rsidRPr="009C108A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="009C108A" w:rsidRPr="009C108A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="009C108A" w:rsidRPr="009C108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="00CF10DD" w:rsidRPr="009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0DD" w:rsidRPr="009C108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>.</w:t>
      </w:r>
    </w:p>
    <w:p w:rsidR="009C108A" w:rsidRPr="009C108A" w:rsidRDefault="009C108A" w:rsidP="009C10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351FF" w:rsidRPr="009C108A" w:rsidRDefault="009351FF" w:rsidP="009C10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0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8A"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 w:rsidRPr="009C108A">
        <w:rPr>
          <w:rFonts w:ascii="Times New Roman" w:hAnsi="Times New Roman" w:cs="Times New Roman"/>
          <w:sz w:val="24"/>
          <w:szCs w:val="24"/>
        </w:rPr>
        <w:t xml:space="preserve"> operators at the regional level wi</w:t>
      </w:r>
      <w:r w:rsidR="00101B57" w:rsidRPr="009C108A">
        <w:rPr>
          <w:rFonts w:ascii="Times New Roman" w:hAnsi="Times New Roman" w:cs="Times New Roman"/>
          <w:sz w:val="24"/>
          <w:szCs w:val="24"/>
        </w:rPr>
        <w:t>ll be determined in accordance with</w:t>
      </w:r>
      <w:r w:rsidRPr="009C108A">
        <w:rPr>
          <w:rFonts w:ascii="Times New Roman" w:hAnsi="Times New Roman" w:cs="Times New Roman"/>
          <w:sz w:val="24"/>
          <w:szCs w:val="24"/>
        </w:rPr>
        <w:t xml:space="preserve"> </w:t>
      </w:r>
      <w:r w:rsidR="00101B57" w:rsidRPr="009C108A">
        <w:rPr>
          <w:rFonts w:ascii="Times New Roman" w:hAnsi="Times New Roman" w:cs="Times New Roman"/>
          <w:sz w:val="24"/>
          <w:szCs w:val="24"/>
        </w:rPr>
        <w:t xml:space="preserve">public </w:t>
      </w:r>
      <w:r w:rsidRPr="009C108A">
        <w:rPr>
          <w:rFonts w:ascii="Times New Roman" w:hAnsi="Times New Roman" w:cs="Times New Roman"/>
          <w:sz w:val="24"/>
          <w:szCs w:val="24"/>
        </w:rPr>
        <w:t>material announcement for licensing.</w:t>
      </w:r>
    </w:p>
    <w:p w:rsidR="001F770E" w:rsidRPr="00E71259" w:rsidRDefault="00FB00F0" w:rsidP="00457B96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13</w:t>
      </w:r>
      <w:r w:rsidR="001F770E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MANNER OF PAYMENT OF ANNUAL </w:t>
      </w:r>
      <w:r w:rsidR="00101B57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FEE</w:t>
      </w:r>
    </w:p>
    <w:p w:rsidR="001F770E" w:rsidRDefault="001F770E" w:rsidP="003D185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8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="00175812" w:rsidRPr="003D185A">
        <w:rPr>
          <w:rFonts w:ascii="Times New Roman" w:hAnsi="Times New Roman" w:cs="Times New Roman"/>
          <w:sz w:val="24"/>
          <w:szCs w:val="24"/>
        </w:rPr>
        <w:t>,</w:t>
      </w:r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all c</w:t>
      </w:r>
      <w:r w:rsidR="00175812" w:rsidRPr="003D185A">
        <w:rPr>
          <w:rFonts w:ascii="Times New Roman" w:hAnsi="Times New Roman" w:cs="Times New Roman"/>
          <w:sz w:val="24"/>
          <w:szCs w:val="24"/>
        </w:rPr>
        <w:t>ategories of IMC Licensees</w:t>
      </w:r>
      <w:r w:rsidR="00051FF0" w:rsidRPr="003D185A">
        <w:rPr>
          <w:rFonts w:ascii="Times New Roman" w:hAnsi="Times New Roman" w:cs="Times New Roman"/>
          <w:sz w:val="24"/>
          <w:szCs w:val="24"/>
        </w:rPr>
        <w:t>,</w:t>
      </w:r>
      <w:r w:rsidR="00175812" w:rsidRPr="003D185A">
        <w:rPr>
          <w:rFonts w:ascii="Times New Roman" w:hAnsi="Times New Roman" w:cs="Times New Roman"/>
          <w:sz w:val="24"/>
          <w:szCs w:val="24"/>
        </w:rPr>
        <w:t xml:space="preserve"> should</w:t>
      </w:r>
      <w:r w:rsidRPr="003D185A">
        <w:rPr>
          <w:rFonts w:ascii="Times New Roman" w:hAnsi="Times New Roman" w:cs="Times New Roman"/>
          <w:sz w:val="24"/>
          <w:szCs w:val="24"/>
        </w:rPr>
        <w:t xml:space="preserve"> be deposited</w:t>
      </w:r>
      <w:r w:rsidR="00051FF0" w:rsidRPr="003D185A">
        <w:rPr>
          <w:rFonts w:ascii="Times New Roman" w:hAnsi="Times New Roman" w:cs="Times New Roman"/>
          <w:sz w:val="24"/>
          <w:szCs w:val="24"/>
        </w:rPr>
        <w:t xml:space="preserve"> totally</w:t>
      </w:r>
      <w:r w:rsidRPr="003D185A">
        <w:rPr>
          <w:rFonts w:ascii="Times New Roman" w:hAnsi="Times New Roman" w:cs="Times New Roman"/>
          <w:sz w:val="24"/>
          <w:szCs w:val="24"/>
        </w:rPr>
        <w:t xml:space="preserve"> in the bank account of the Independent Media Commission until </w:t>
      </w:r>
      <w:r w:rsidR="00175812" w:rsidRPr="003D185A">
        <w:rPr>
          <w:rFonts w:ascii="Times New Roman" w:hAnsi="Times New Roman" w:cs="Times New Roman"/>
          <w:sz w:val="24"/>
          <w:szCs w:val="24"/>
        </w:rPr>
        <w:t>30</w:t>
      </w:r>
      <w:r w:rsidR="00175812" w:rsidRPr="003D18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5812"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B8E" w:rsidRPr="003D185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6F2B8E" w:rsidRPr="003D185A">
        <w:rPr>
          <w:rFonts w:ascii="Times New Roman" w:hAnsi="Times New Roman" w:cs="Times New Roman"/>
          <w:sz w:val="24"/>
          <w:szCs w:val="24"/>
        </w:rPr>
        <w:t xml:space="preserve"> of</w:t>
      </w:r>
      <w:r w:rsidRPr="003D18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respective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>.</w:t>
      </w:r>
    </w:p>
    <w:p w:rsidR="003D185A" w:rsidRPr="003D185A" w:rsidRDefault="003D185A" w:rsidP="003D18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770E" w:rsidRDefault="004E0605" w:rsidP="003D185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85A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, the first annual </w:t>
      </w:r>
      <w:r w:rsidR="00051FF0" w:rsidRPr="003D185A">
        <w:rPr>
          <w:rFonts w:ascii="Times New Roman" w:hAnsi="Times New Roman" w:cs="Times New Roman"/>
          <w:sz w:val="24"/>
          <w:szCs w:val="24"/>
        </w:rPr>
        <w:t xml:space="preserve">license </w:t>
      </w:r>
      <w:r w:rsidRPr="003D185A">
        <w:rPr>
          <w:rFonts w:ascii="Times New Roman" w:hAnsi="Times New Roman" w:cs="Times New Roman"/>
          <w:sz w:val="24"/>
          <w:szCs w:val="24"/>
        </w:rPr>
        <w:t xml:space="preserve">fee </w:t>
      </w:r>
      <w:r w:rsidR="006F2B8E" w:rsidRPr="003D185A">
        <w:rPr>
          <w:rFonts w:ascii="Times New Roman" w:hAnsi="Times New Roman" w:cs="Times New Roman"/>
          <w:sz w:val="24"/>
          <w:szCs w:val="24"/>
        </w:rPr>
        <w:t>should</w:t>
      </w:r>
      <w:r w:rsidRPr="003D185A">
        <w:rPr>
          <w:rFonts w:ascii="Times New Roman" w:hAnsi="Times New Roman" w:cs="Times New Roman"/>
          <w:sz w:val="24"/>
          <w:szCs w:val="24"/>
        </w:rPr>
        <w:t xml:space="preserve"> be paid not later than 14 days from receipt of the decision for licensing, while the calculation</w:t>
      </w:r>
      <w:r w:rsidR="006F2B8E" w:rsidRPr="003D185A">
        <w:rPr>
          <w:rFonts w:ascii="Times New Roman" w:hAnsi="Times New Roman" w:cs="Times New Roman"/>
          <w:sz w:val="24"/>
          <w:szCs w:val="24"/>
        </w:rPr>
        <w:t xml:space="preserve"> of the annual license fee will</w:t>
      </w:r>
      <w:r w:rsidRPr="003D185A">
        <w:rPr>
          <w:rFonts w:ascii="Times New Roman" w:hAnsi="Times New Roman" w:cs="Times New Roman"/>
          <w:sz w:val="24"/>
          <w:szCs w:val="24"/>
        </w:rPr>
        <w:t xml:space="preserve"> be made from the month in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="00845461"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461" w:rsidRPr="003D18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45461" w:rsidRPr="003D185A">
        <w:rPr>
          <w:rFonts w:ascii="Times New Roman" w:hAnsi="Times New Roman" w:cs="Times New Roman"/>
          <w:sz w:val="24"/>
          <w:szCs w:val="24"/>
        </w:rPr>
        <w:t xml:space="preserve"> </w:t>
      </w:r>
      <w:r w:rsidR="00051FF0" w:rsidRPr="003D185A">
        <w:rPr>
          <w:rFonts w:ascii="Times New Roman" w:hAnsi="Times New Roman" w:cs="Times New Roman"/>
          <w:sz w:val="24"/>
          <w:szCs w:val="24"/>
        </w:rPr>
        <w:t>taken</w:t>
      </w:r>
      <w:r w:rsidRPr="003D185A">
        <w:rPr>
          <w:rFonts w:ascii="Times New Roman" w:hAnsi="Times New Roman" w:cs="Times New Roman"/>
          <w:sz w:val="24"/>
          <w:szCs w:val="24"/>
        </w:rPr>
        <w:t>.</w:t>
      </w:r>
    </w:p>
    <w:p w:rsidR="003D185A" w:rsidRPr="003D185A" w:rsidRDefault="003D185A" w:rsidP="003D18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E0605" w:rsidRDefault="004E0605" w:rsidP="003D185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5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51FF0" w:rsidRPr="003D185A">
        <w:rPr>
          <w:rFonts w:ascii="Times New Roman" w:hAnsi="Times New Roman" w:cs="Times New Roman"/>
          <w:sz w:val="24"/>
          <w:szCs w:val="24"/>
        </w:rPr>
        <w:t>Licensees</w:t>
      </w:r>
      <w:proofErr w:type="spellEnd"/>
      <w:r w:rsidR="00051FF0"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d</w:t>
      </w:r>
      <w:r w:rsidR="00845461" w:rsidRPr="003D185A">
        <w:rPr>
          <w:rFonts w:ascii="Times New Roman" w:hAnsi="Times New Roman" w:cs="Times New Roman"/>
          <w:sz w:val="24"/>
          <w:szCs w:val="24"/>
        </w:rPr>
        <w:t>oes</w:t>
      </w:r>
      <w:proofErr w:type="spellEnd"/>
      <w:r w:rsidR="00845461" w:rsidRPr="003D185A">
        <w:rPr>
          <w:rFonts w:ascii="Times New Roman" w:hAnsi="Times New Roman" w:cs="Times New Roman"/>
          <w:sz w:val="24"/>
          <w:szCs w:val="24"/>
        </w:rPr>
        <w:t xml:space="preserve"> not inform the </w:t>
      </w:r>
      <w:r w:rsidRPr="003D185A">
        <w:rPr>
          <w:rFonts w:ascii="Times New Roman" w:hAnsi="Times New Roman" w:cs="Times New Roman"/>
          <w:sz w:val="24"/>
          <w:szCs w:val="24"/>
        </w:rPr>
        <w:t xml:space="preserve">Independent Media </w:t>
      </w:r>
      <w:r w:rsidR="00845461" w:rsidRPr="003D185A">
        <w:rPr>
          <w:rFonts w:ascii="Times New Roman" w:hAnsi="Times New Roman" w:cs="Times New Roman"/>
          <w:sz w:val="24"/>
          <w:szCs w:val="24"/>
        </w:rPr>
        <w:t xml:space="preserve">Commission </w:t>
      </w:r>
      <w:r w:rsidRPr="003D185A">
        <w:rPr>
          <w:rFonts w:ascii="Times New Roman" w:hAnsi="Times New Roman" w:cs="Times New Roman"/>
          <w:sz w:val="24"/>
          <w:szCs w:val="24"/>
        </w:rPr>
        <w:t>that do not plan to continue to exer</w:t>
      </w:r>
      <w:r w:rsidR="00051FF0" w:rsidRPr="003D185A">
        <w:rPr>
          <w:rFonts w:ascii="Times New Roman" w:hAnsi="Times New Roman" w:cs="Times New Roman"/>
          <w:sz w:val="24"/>
          <w:szCs w:val="24"/>
        </w:rPr>
        <w:t xml:space="preserve">cise </w:t>
      </w:r>
      <w:r w:rsidRPr="003D185A">
        <w:rPr>
          <w:rFonts w:ascii="Times New Roman" w:hAnsi="Times New Roman" w:cs="Times New Roman"/>
          <w:sz w:val="24"/>
          <w:szCs w:val="24"/>
        </w:rPr>
        <w:t>their activity further, financial responsibilit</w:t>
      </w:r>
      <w:r w:rsidR="00EA4078" w:rsidRPr="003D185A">
        <w:rPr>
          <w:rFonts w:ascii="Times New Roman" w:hAnsi="Times New Roman" w:cs="Times New Roman"/>
          <w:sz w:val="24"/>
          <w:szCs w:val="24"/>
        </w:rPr>
        <w:t>ies arising from the license wi</w:t>
      </w:r>
      <w:r w:rsidRPr="003D185A">
        <w:rPr>
          <w:rFonts w:ascii="Times New Roman" w:hAnsi="Times New Roman" w:cs="Times New Roman"/>
          <w:sz w:val="24"/>
          <w:szCs w:val="24"/>
        </w:rPr>
        <w:t>ll be valid until the moment of del</w:t>
      </w:r>
      <w:r w:rsidR="00EA4078" w:rsidRPr="003D185A">
        <w:rPr>
          <w:rFonts w:ascii="Times New Roman" w:hAnsi="Times New Roman" w:cs="Times New Roman"/>
          <w:sz w:val="24"/>
          <w:szCs w:val="24"/>
        </w:rPr>
        <w:t>ivery of a written notice to</w:t>
      </w:r>
      <w:r w:rsidRPr="003D185A">
        <w:rPr>
          <w:rFonts w:ascii="Times New Roman" w:hAnsi="Times New Roman" w:cs="Times New Roman"/>
          <w:sz w:val="24"/>
          <w:szCs w:val="24"/>
        </w:rPr>
        <w:t xml:space="preserve"> IMC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Licensee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A" w:rsidRPr="003D185A">
        <w:rPr>
          <w:rFonts w:ascii="Times New Roman" w:hAnsi="Times New Roman" w:cs="Times New Roman"/>
          <w:sz w:val="24"/>
          <w:szCs w:val="24"/>
        </w:rPr>
        <w:t>resigns</w:t>
      </w:r>
      <w:proofErr w:type="spellEnd"/>
      <w:r w:rsidR="003D185A"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5A" w:rsidRPr="003D18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D185A" w:rsidRPr="003D185A">
        <w:rPr>
          <w:rFonts w:ascii="Times New Roman" w:hAnsi="Times New Roman" w:cs="Times New Roman"/>
          <w:sz w:val="24"/>
          <w:szCs w:val="24"/>
        </w:rPr>
        <w:t xml:space="preserve"> the</w:t>
      </w:r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>.</w:t>
      </w:r>
    </w:p>
    <w:p w:rsidR="003D185A" w:rsidRPr="003D185A" w:rsidRDefault="003D185A" w:rsidP="003D18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43BA" w:rsidRPr="003D185A" w:rsidRDefault="008547D9" w:rsidP="003D185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85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D185A">
        <w:rPr>
          <w:rFonts w:ascii="Times New Roman" w:hAnsi="Times New Roman" w:cs="Times New Roman"/>
          <w:sz w:val="24"/>
          <w:szCs w:val="24"/>
        </w:rPr>
        <w:t>Licensee</w:t>
      </w:r>
      <w:proofErr w:type="spellEnd"/>
      <w:r w:rsidRPr="003D185A">
        <w:rPr>
          <w:rFonts w:ascii="Times New Roman" w:hAnsi="Times New Roman" w:cs="Times New Roman"/>
          <w:sz w:val="24"/>
          <w:szCs w:val="24"/>
        </w:rPr>
        <w:t xml:space="preserve"> </w:t>
      </w:r>
      <w:r w:rsidR="003D185A" w:rsidRPr="003D185A">
        <w:rPr>
          <w:rFonts w:ascii="Times New Roman" w:hAnsi="Times New Roman" w:cs="Times New Roman"/>
          <w:sz w:val="24"/>
          <w:szCs w:val="24"/>
        </w:rPr>
        <w:t>ceases</w:t>
      </w:r>
      <w:r w:rsidRPr="003D185A">
        <w:rPr>
          <w:rFonts w:ascii="Times New Roman" w:hAnsi="Times New Roman" w:cs="Times New Roman"/>
          <w:sz w:val="24"/>
          <w:szCs w:val="24"/>
        </w:rPr>
        <w:t xml:space="preserve"> the activity</w:t>
      </w:r>
      <w:r w:rsidR="004E0605" w:rsidRPr="003D185A">
        <w:rPr>
          <w:rFonts w:ascii="Times New Roman" w:hAnsi="Times New Roman" w:cs="Times New Roman"/>
          <w:sz w:val="24"/>
          <w:szCs w:val="24"/>
        </w:rPr>
        <w:t xml:space="preserve"> before the expiration of the time for which time the fee is paid, the amount of the remaining fee will not be refunded.</w:t>
      </w:r>
    </w:p>
    <w:p w:rsidR="004E0605" w:rsidRPr="00E71259" w:rsidRDefault="009143BA" w:rsidP="009143B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</w:t>
      </w:r>
      <w:proofErr w:type="gramStart"/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14                                                                                                                                  </w:t>
      </w:r>
      <w:r w:rsidR="003C65A6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FEE</w:t>
      </w:r>
      <w:proofErr w:type="gramEnd"/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FOR </w:t>
      </w:r>
      <w:r w:rsidR="00905C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AMENDMENT</w:t>
      </w:r>
      <w:r w:rsidR="00905C2E"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AND EXTENSION OF </w:t>
      </w:r>
      <w:r w:rsidR="00905C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THE </w:t>
      </w: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LICENSE</w:t>
      </w:r>
    </w:p>
    <w:p w:rsidR="009143BA" w:rsidRPr="00E71259" w:rsidRDefault="009143BA" w:rsidP="00914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 xml:space="preserve">Upon submission of the application for license amendment or renewal of </w:t>
      </w:r>
      <w:r w:rsidR="00905C2E">
        <w:rPr>
          <w:rFonts w:ascii="Times New Roman" w:hAnsi="Times New Roman" w:cs="Times New Roman"/>
          <w:sz w:val="24"/>
          <w:szCs w:val="24"/>
        </w:rPr>
        <w:t xml:space="preserve">the </w:t>
      </w:r>
      <w:r w:rsidRPr="00E71259">
        <w:rPr>
          <w:rFonts w:ascii="Times New Roman" w:hAnsi="Times New Roman" w:cs="Times New Roman"/>
          <w:sz w:val="24"/>
          <w:szCs w:val="24"/>
        </w:rPr>
        <w:t>license, the applicant must pay an administrative fee in the amount of one hundred Euro (100.00</w:t>
      </w:r>
      <w:r w:rsidR="00905C2E">
        <w:rPr>
          <w:rFonts w:ascii="Times New Roman" w:hAnsi="Times New Roman" w:cs="Times New Roman"/>
          <w:sz w:val="24"/>
          <w:szCs w:val="24"/>
        </w:rPr>
        <w:t xml:space="preserve"> </w:t>
      </w:r>
      <w:r w:rsidR="00905C2E" w:rsidRPr="00E71259">
        <w:rPr>
          <w:rFonts w:ascii="Times New Roman" w:hAnsi="Times New Roman" w:cs="Times New Roman"/>
          <w:sz w:val="24"/>
          <w:szCs w:val="24"/>
        </w:rPr>
        <w:t>€</w:t>
      </w:r>
      <w:r w:rsidRPr="00E71259">
        <w:rPr>
          <w:rFonts w:ascii="Times New Roman" w:hAnsi="Times New Roman" w:cs="Times New Roman"/>
          <w:sz w:val="24"/>
          <w:szCs w:val="24"/>
        </w:rPr>
        <w:t>)</w:t>
      </w:r>
      <w:r w:rsidR="00905C2E" w:rsidRPr="00905C2E">
        <w:rPr>
          <w:rFonts w:ascii="Times New Roman" w:hAnsi="Times New Roman" w:cs="Times New Roman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sz w:val="24"/>
          <w:szCs w:val="24"/>
        </w:rPr>
        <w:t xml:space="preserve">to the bank account of the IMC. Despite the decision of the IMC, the administrative fee is not </w:t>
      </w:r>
      <w:r w:rsidR="00905C2E" w:rsidRPr="003D185A">
        <w:rPr>
          <w:rFonts w:ascii="Times New Roman" w:hAnsi="Times New Roman" w:cs="Times New Roman"/>
          <w:sz w:val="24"/>
          <w:szCs w:val="24"/>
        </w:rPr>
        <w:t>refunded</w:t>
      </w:r>
      <w:r w:rsidR="00905C2E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sz w:val="24"/>
          <w:szCs w:val="24"/>
        </w:rPr>
        <w:t>to the applicant.</w:t>
      </w:r>
      <w:r w:rsidR="00905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BA" w:rsidRPr="00E71259" w:rsidRDefault="009143BA" w:rsidP="009143B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ARTICLE 15                                                                                                                       SANCTIONS</w:t>
      </w:r>
    </w:p>
    <w:p w:rsidR="00457B96" w:rsidRPr="00E71259" w:rsidRDefault="009143BA" w:rsidP="009143BA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>In case of</w:t>
      </w:r>
      <w:r w:rsidR="00E40A77" w:rsidRPr="00E71259">
        <w:rPr>
          <w:rFonts w:ascii="Times New Roman" w:hAnsi="Times New Roman" w:cs="Times New Roman"/>
          <w:sz w:val="24"/>
          <w:szCs w:val="24"/>
        </w:rPr>
        <w:t xml:space="preserve"> non</w:t>
      </w:r>
      <w:r w:rsidR="00224E0B">
        <w:rPr>
          <w:rFonts w:ascii="Times New Roman" w:hAnsi="Times New Roman" w:cs="Times New Roman"/>
          <w:sz w:val="24"/>
          <w:szCs w:val="24"/>
        </w:rPr>
        <w:t>-</w:t>
      </w:r>
      <w:r w:rsidR="00E40A77" w:rsidRPr="00E71259">
        <w:rPr>
          <w:rFonts w:ascii="Times New Roman" w:hAnsi="Times New Roman" w:cs="Times New Roman"/>
          <w:sz w:val="24"/>
          <w:szCs w:val="24"/>
        </w:rPr>
        <w:t>payment</w:t>
      </w:r>
      <w:r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="00E40A77" w:rsidRPr="00E71259">
        <w:rPr>
          <w:rFonts w:ascii="Times New Roman" w:hAnsi="Times New Roman" w:cs="Times New Roman"/>
          <w:sz w:val="24"/>
          <w:szCs w:val="24"/>
        </w:rPr>
        <w:t xml:space="preserve">of </w:t>
      </w:r>
      <w:r w:rsidR="00224E0B" w:rsidRPr="00E71259">
        <w:rPr>
          <w:rFonts w:ascii="Times New Roman" w:hAnsi="Times New Roman" w:cs="Times New Roman"/>
          <w:sz w:val="24"/>
          <w:szCs w:val="24"/>
        </w:rPr>
        <w:t xml:space="preserve">license </w:t>
      </w:r>
      <w:r w:rsidRPr="00E71259">
        <w:rPr>
          <w:rFonts w:ascii="Times New Roman" w:hAnsi="Times New Roman" w:cs="Times New Roman"/>
          <w:sz w:val="24"/>
          <w:szCs w:val="24"/>
        </w:rPr>
        <w:t xml:space="preserve">fee </w:t>
      </w:r>
      <w:r w:rsidR="00E40A77" w:rsidRPr="00E71259">
        <w:rPr>
          <w:rFonts w:ascii="Times New Roman" w:hAnsi="Times New Roman" w:cs="Times New Roman"/>
          <w:sz w:val="24"/>
          <w:szCs w:val="24"/>
        </w:rPr>
        <w:t>in time</w:t>
      </w:r>
      <w:r w:rsidRPr="00E71259">
        <w:rPr>
          <w:rFonts w:ascii="Times New Roman" w:hAnsi="Times New Roman" w:cs="Times New Roman"/>
          <w:sz w:val="24"/>
          <w:szCs w:val="24"/>
        </w:rPr>
        <w:t xml:space="preserve">, </w:t>
      </w:r>
      <w:r w:rsidR="00224E0B">
        <w:rPr>
          <w:rFonts w:ascii="Times New Roman" w:hAnsi="Times New Roman" w:cs="Times New Roman"/>
          <w:sz w:val="24"/>
          <w:szCs w:val="24"/>
        </w:rPr>
        <w:t xml:space="preserve">the </w:t>
      </w:r>
      <w:r w:rsidRPr="00E71259">
        <w:rPr>
          <w:rFonts w:ascii="Times New Roman" w:hAnsi="Times New Roman" w:cs="Times New Roman"/>
          <w:sz w:val="24"/>
          <w:szCs w:val="24"/>
        </w:rPr>
        <w:t>IMC will take measures in accordance with the Law o</w:t>
      </w:r>
      <w:r w:rsidR="00224E0B">
        <w:rPr>
          <w:rFonts w:ascii="Times New Roman" w:hAnsi="Times New Roman" w:cs="Times New Roman"/>
          <w:sz w:val="24"/>
          <w:szCs w:val="24"/>
        </w:rPr>
        <w:t>n the</w:t>
      </w:r>
      <w:r w:rsidRPr="00E71259">
        <w:rPr>
          <w:rFonts w:ascii="Times New Roman" w:hAnsi="Times New Roman" w:cs="Times New Roman"/>
          <w:sz w:val="24"/>
          <w:szCs w:val="24"/>
        </w:rPr>
        <w:t xml:space="preserve"> IMC.</w:t>
      </w:r>
    </w:p>
    <w:p w:rsidR="00225148" w:rsidRPr="00E71259" w:rsidRDefault="00225148" w:rsidP="002251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 16                                                                                                                         TRANSITIONAL PROVISIONS</w:t>
      </w:r>
    </w:p>
    <w:p w:rsidR="00225148" w:rsidRPr="00E71259" w:rsidRDefault="00225148" w:rsidP="00225148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>1. Article 8 of this Regulation</w:t>
      </w:r>
      <w:r w:rsidR="00F101F4" w:rsidRPr="00E71259">
        <w:rPr>
          <w:rFonts w:ascii="Times New Roman" w:hAnsi="Times New Roman" w:cs="Times New Roman"/>
          <w:sz w:val="24"/>
          <w:szCs w:val="24"/>
        </w:rPr>
        <w:t xml:space="preserve"> will</w:t>
      </w:r>
      <w:r w:rsidRPr="00E71259">
        <w:rPr>
          <w:rFonts w:ascii="Times New Roman" w:hAnsi="Times New Roman" w:cs="Times New Roman"/>
          <w:sz w:val="24"/>
          <w:szCs w:val="24"/>
        </w:rPr>
        <w:t xml:space="preserve"> be applicable</w:t>
      </w:r>
      <w:r w:rsidR="00224E0B">
        <w:rPr>
          <w:rFonts w:ascii="Times New Roman" w:hAnsi="Times New Roman" w:cs="Times New Roman"/>
          <w:sz w:val="24"/>
          <w:szCs w:val="24"/>
        </w:rPr>
        <w:t xml:space="preserve"> until the switch-off</w:t>
      </w:r>
      <w:r w:rsidRPr="00E71259">
        <w:rPr>
          <w:rFonts w:ascii="Times New Roman" w:hAnsi="Times New Roman" w:cs="Times New Roman"/>
          <w:sz w:val="24"/>
          <w:szCs w:val="24"/>
        </w:rPr>
        <w:t xml:space="preserve"> of</w:t>
      </w:r>
      <w:r w:rsidR="00246110" w:rsidRPr="00E71259">
        <w:rPr>
          <w:rFonts w:ascii="Times New Roman" w:hAnsi="Times New Roman" w:cs="Times New Roman"/>
          <w:sz w:val="24"/>
          <w:szCs w:val="24"/>
        </w:rPr>
        <w:t xml:space="preserve"> </w:t>
      </w:r>
      <w:r w:rsidRPr="00E71259">
        <w:rPr>
          <w:rFonts w:ascii="Times New Roman" w:hAnsi="Times New Roman" w:cs="Times New Roman"/>
          <w:sz w:val="24"/>
          <w:szCs w:val="24"/>
        </w:rPr>
        <w:t xml:space="preserve">analogue terrestrial </w:t>
      </w:r>
      <w:r w:rsidR="00224E0B">
        <w:rPr>
          <w:rFonts w:ascii="Times New Roman" w:hAnsi="Times New Roman" w:cs="Times New Roman"/>
          <w:sz w:val="24"/>
          <w:szCs w:val="24"/>
        </w:rPr>
        <w:t xml:space="preserve">TV broadcasting. </w:t>
      </w:r>
    </w:p>
    <w:p w:rsidR="004F553B" w:rsidRPr="00E71259" w:rsidRDefault="004F553B" w:rsidP="00225148">
      <w:pPr>
        <w:jc w:val="both"/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7125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71259">
        <w:rPr>
          <w:rFonts w:ascii="Times New Roman" w:hAnsi="Times New Roman" w:cs="Times New Roman"/>
          <w:sz w:val="24"/>
          <w:szCs w:val="24"/>
        </w:rPr>
        <w:t xml:space="preserve"> the entry into force of this Reg</w:t>
      </w:r>
      <w:r w:rsidR="00246110" w:rsidRPr="00E71259">
        <w:rPr>
          <w:rFonts w:ascii="Times New Roman" w:hAnsi="Times New Roman" w:cs="Times New Roman"/>
          <w:sz w:val="24"/>
          <w:szCs w:val="24"/>
        </w:rPr>
        <w:t xml:space="preserve">ulation </w:t>
      </w:r>
      <w:r w:rsidR="00224E0B">
        <w:rPr>
          <w:rFonts w:ascii="Times New Roman" w:hAnsi="Times New Roman" w:cs="Times New Roman"/>
          <w:sz w:val="24"/>
          <w:szCs w:val="24"/>
        </w:rPr>
        <w:t xml:space="preserve">is abrogated </w:t>
      </w:r>
      <w:r w:rsidR="00246110" w:rsidRPr="00E71259">
        <w:rPr>
          <w:rFonts w:ascii="Times New Roman" w:hAnsi="Times New Roman" w:cs="Times New Roman"/>
          <w:sz w:val="24"/>
          <w:szCs w:val="24"/>
        </w:rPr>
        <w:t>the Regulation IM</w:t>
      </w:r>
      <w:r w:rsidRPr="00E71259">
        <w:rPr>
          <w:rFonts w:ascii="Times New Roman" w:hAnsi="Times New Roman" w:cs="Times New Roman"/>
          <w:sz w:val="24"/>
          <w:szCs w:val="24"/>
        </w:rPr>
        <w:t>C</w:t>
      </w:r>
      <w:r w:rsidR="00224E0B">
        <w:rPr>
          <w:rFonts w:ascii="Times New Roman" w:hAnsi="Times New Roman" w:cs="Times New Roman"/>
          <w:sz w:val="24"/>
          <w:szCs w:val="24"/>
        </w:rPr>
        <w:t>-</w:t>
      </w:r>
      <w:r w:rsidRPr="00E71259">
        <w:rPr>
          <w:rFonts w:ascii="Times New Roman" w:hAnsi="Times New Roman" w:cs="Times New Roman"/>
          <w:sz w:val="24"/>
          <w:szCs w:val="24"/>
        </w:rPr>
        <w:t>2014/03.</w:t>
      </w:r>
    </w:p>
    <w:p w:rsidR="00411369" w:rsidRPr="00E71259" w:rsidRDefault="00411369" w:rsidP="0041136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ARTICLE </w:t>
      </w:r>
      <w:proofErr w:type="gramStart"/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17                                                                                                                                ENTRY</w:t>
      </w:r>
      <w:proofErr w:type="gramEnd"/>
      <w:r w:rsidRPr="00E712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INTO FORCE</w:t>
      </w:r>
    </w:p>
    <w:p w:rsidR="00A316D3" w:rsidRPr="00E71259" w:rsidRDefault="00A316D3" w:rsidP="00A316D3">
      <w:pPr>
        <w:rPr>
          <w:rFonts w:ascii="Times New Roman" w:hAnsi="Times New Roman" w:cs="Times New Roman"/>
          <w:sz w:val="24"/>
          <w:szCs w:val="24"/>
        </w:rPr>
      </w:pPr>
      <w:r w:rsidRPr="00E71259">
        <w:rPr>
          <w:rFonts w:ascii="Times New Roman" w:hAnsi="Times New Roman" w:cs="Times New Roman"/>
          <w:sz w:val="24"/>
          <w:szCs w:val="24"/>
        </w:rPr>
        <w:t>This Regulation will enter into force on the signing day.</w:t>
      </w:r>
    </w:p>
    <w:p w:rsidR="007A3411" w:rsidRPr="00E71259" w:rsidRDefault="007A3411" w:rsidP="0041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411" w:rsidRPr="00E71259" w:rsidRDefault="007A3411" w:rsidP="007A34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5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:rsidR="007A3411" w:rsidRPr="00E71259" w:rsidRDefault="007A3411" w:rsidP="007A34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59">
        <w:rPr>
          <w:rFonts w:ascii="Times New Roman" w:hAnsi="Times New Roman" w:cs="Times New Roman"/>
          <w:b/>
          <w:sz w:val="24"/>
          <w:szCs w:val="24"/>
        </w:rPr>
        <w:t>Adnan MEROVCI</w:t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  <w:t>Data</w:t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</w:r>
      <w:r w:rsidRPr="00E712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24E0B" w:rsidRDefault="00224E0B" w:rsidP="00224E0B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1E">
        <w:rPr>
          <w:rFonts w:ascii="Times New Roman" w:hAnsi="Times New Roman" w:cs="Times New Roman"/>
          <w:b/>
          <w:sz w:val="24"/>
          <w:szCs w:val="24"/>
        </w:rPr>
        <w:t>Chairman of IMC</w:t>
      </w:r>
      <w:r w:rsidRPr="0072251E">
        <w:rPr>
          <w:rFonts w:ascii="Times New Roman" w:hAnsi="Times New Roman" w:cs="Times New Roman"/>
          <w:b/>
          <w:sz w:val="24"/>
          <w:szCs w:val="24"/>
        </w:rPr>
        <w:tab/>
      </w:r>
    </w:p>
    <w:p w:rsidR="007A3411" w:rsidRPr="00E71259" w:rsidRDefault="00224E0B" w:rsidP="00224E0B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FED">
        <w:rPr>
          <w:rFonts w:ascii="Times New Roman" w:hAnsi="Times New Roman" w:cs="Times New Roman"/>
          <w:b/>
          <w:sz w:val="24"/>
          <w:szCs w:val="24"/>
        </w:rPr>
        <w:t>The Independent Media Commission</w:t>
      </w:r>
      <w:r w:rsidR="007A3411" w:rsidRPr="00E71259">
        <w:rPr>
          <w:rFonts w:ascii="Times New Roman" w:hAnsi="Times New Roman" w:cs="Times New Roman"/>
          <w:b/>
          <w:sz w:val="24"/>
          <w:szCs w:val="24"/>
        </w:rPr>
        <w:tab/>
      </w:r>
    </w:p>
    <w:p w:rsidR="008B597E" w:rsidRPr="00E71259" w:rsidRDefault="008B597E" w:rsidP="00101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CC9" w:rsidRPr="00E71259" w:rsidRDefault="00687CC9" w:rsidP="00101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CC9" w:rsidRPr="00E71259" w:rsidSect="000644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80" w:rsidRDefault="00F64480" w:rsidP="00BA09A5">
      <w:pPr>
        <w:spacing w:after="0" w:line="240" w:lineRule="auto"/>
      </w:pPr>
      <w:r>
        <w:separator/>
      </w:r>
    </w:p>
  </w:endnote>
  <w:endnote w:type="continuationSeparator" w:id="0">
    <w:p w:rsidR="00F64480" w:rsidRDefault="00F64480" w:rsidP="00BA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C8" w:rsidRDefault="00F95DC8">
    <w:pPr>
      <w:pStyle w:val="Footer"/>
      <w:jc w:val="center"/>
    </w:pPr>
  </w:p>
  <w:p w:rsidR="00DF2EF5" w:rsidRDefault="00DF2EF5" w:rsidP="00DF2EF5">
    <w:pPr>
      <w:pStyle w:val="Footer"/>
      <w:pBdr>
        <w:bottom w:val="single" w:sz="12" w:space="1" w:color="auto"/>
      </w:pBdr>
      <w:jc w:val="center"/>
    </w:pPr>
    <w:r>
      <w:tab/>
    </w:r>
  </w:p>
  <w:sdt>
    <w:sdtPr>
      <w:id w:val="238251467"/>
      <w:docPartObj>
        <w:docPartGallery w:val="Page Numbers (Bottom of Page)"/>
        <w:docPartUnique/>
      </w:docPartObj>
    </w:sdtPr>
    <w:sdtContent>
      <w:p w:rsidR="00DF2EF5" w:rsidRDefault="00DF2EF5" w:rsidP="00DF2EF5">
        <w:pPr>
          <w:pStyle w:val="Footer"/>
          <w:pBdr>
            <w:bottom w:val="single" w:sz="12" w:space="1" w:color="auto"/>
          </w:pBdr>
          <w:rPr>
            <w:sz w:val="16"/>
            <w:szCs w:val="16"/>
          </w:rPr>
        </w:pPr>
      </w:p>
      <w:p w:rsidR="00DF2EF5" w:rsidRPr="00A91929" w:rsidRDefault="00DF2EF5" w:rsidP="00DF2EF5">
        <w:pPr>
          <w:pStyle w:val="Footer"/>
          <w:jc w:val="center"/>
          <w:rPr>
            <w:sz w:val="15"/>
            <w:szCs w:val="15"/>
          </w:rPr>
        </w:pPr>
        <w:proofErr w:type="spellStart"/>
        <w:r>
          <w:rPr>
            <w:sz w:val="15"/>
            <w:szCs w:val="15"/>
          </w:rPr>
          <w:t>Komisioni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Pavarur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Mediave</w:t>
        </w:r>
        <w:proofErr w:type="spellEnd"/>
        <w:r>
          <w:rPr>
            <w:sz w:val="15"/>
            <w:szCs w:val="15"/>
          </w:rPr>
          <w:t>/</w:t>
        </w:r>
        <w:r>
          <w:rPr>
            <w:sz w:val="15"/>
            <w:szCs w:val="15"/>
            <w:lang w:val="sr-Cyrl-BA"/>
          </w:rPr>
          <w:t>Nezavisna Komisija za Medije</w:t>
        </w:r>
        <w:r>
          <w:rPr>
            <w:sz w:val="15"/>
            <w:szCs w:val="15"/>
          </w:rPr>
          <w:t xml:space="preserve">/Independent Media Commission, </w:t>
        </w:r>
        <w:proofErr w:type="spellStart"/>
        <w:r>
          <w:rPr>
            <w:sz w:val="15"/>
            <w:szCs w:val="15"/>
          </w:rPr>
          <w:t>Rr.Ul.Str</w:t>
        </w:r>
        <w:proofErr w:type="spellEnd"/>
        <w:r>
          <w:rPr>
            <w:sz w:val="15"/>
            <w:szCs w:val="15"/>
          </w:rPr>
          <w:t xml:space="preserve">. </w:t>
        </w:r>
        <w:proofErr w:type="spellStart"/>
        <w:r>
          <w:rPr>
            <w:sz w:val="15"/>
            <w:szCs w:val="15"/>
          </w:rPr>
          <w:t>Perandori</w:t>
        </w:r>
        <w:proofErr w:type="spellEnd"/>
        <w:r>
          <w:rPr>
            <w:sz w:val="15"/>
            <w:szCs w:val="15"/>
          </w:rPr>
          <w:t xml:space="preserve"> Justinian Nr. 124 </w:t>
        </w:r>
        <w:proofErr w:type="spellStart"/>
        <w:r>
          <w:rPr>
            <w:sz w:val="15"/>
            <w:szCs w:val="15"/>
          </w:rPr>
          <w:t>Qyteza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Pejton</w:t>
        </w:r>
        <w:proofErr w:type="spellEnd"/>
        <w:r>
          <w:rPr>
            <w:sz w:val="15"/>
            <w:szCs w:val="15"/>
          </w:rPr>
          <w:t xml:space="preserve">, 10000 </w:t>
        </w:r>
        <w:proofErr w:type="spellStart"/>
        <w:r>
          <w:rPr>
            <w:sz w:val="15"/>
            <w:szCs w:val="15"/>
          </w:rPr>
          <w:t>Prishtinë</w:t>
        </w:r>
        <w:proofErr w:type="spellEnd"/>
        <w:r>
          <w:rPr>
            <w:sz w:val="15"/>
            <w:szCs w:val="15"/>
          </w:rPr>
          <w:t>-</w:t>
        </w:r>
        <w:r>
          <w:rPr>
            <w:sz w:val="15"/>
            <w:szCs w:val="15"/>
            <w:lang w:val="sr-Cyrl-BA"/>
          </w:rPr>
          <w:t>Prištin</w:t>
        </w:r>
        <w:r>
          <w:rPr>
            <w:sz w:val="15"/>
            <w:szCs w:val="15"/>
          </w:rPr>
          <w:t>a- Pristina/</w:t>
        </w:r>
        <w:proofErr w:type="spellStart"/>
        <w:r>
          <w:rPr>
            <w:sz w:val="15"/>
            <w:szCs w:val="15"/>
          </w:rPr>
          <w:t>Kosovë</w:t>
        </w:r>
        <w:proofErr w:type="spellEnd"/>
        <w:r>
          <w:rPr>
            <w:sz w:val="15"/>
            <w:szCs w:val="15"/>
          </w:rPr>
          <w:t xml:space="preserve">-Kosovo, Tel: (+381) (0) 38 245 031, Fax: (+381) (0) 38 245 034, E-mail: </w:t>
        </w:r>
        <w:hyperlink r:id="rId1" w:history="1">
          <w:r>
            <w:rPr>
              <w:rStyle w:val="Hyperlink"/>
              <w:sz w:val="15"/>
              <w:szCs w:val="15"/>
            </w:rPr>
            <w:t>Info@kpm-ks.org</w:t>
          </w:r>
        </w:hyperlink>
        <w:proofErr w:type="gramStart"/>
        <w:r>
          <w:rPr>
            <w:sz w:val="15"/>
            <w:szCs w:val="15"/>
          </w:rPr>
          <w:t>;,</w:t>
        </w:r>
        <w:proofErr w:type="gramEnd"/>
        <w:r>
          <w:rPr>
            <w:sz w:val="15"/>
            <w:szCs w:val="15"/>
          </w:rPr>
          <w:t xml:space="preserve"> </w:t>
        </w:r>
        <w:hyperlink r:id="rId2" w:history="1">
          <w:r w:rsidRPr="00557146">
            <w:rPr>
              <w:rStyle w:val="Hyperlink"/>
              <w:sz w:val="15"/>
              <w:szCs w:val="15"/>
            </w:rPr>
            <w:t>www.kpm-ks.org</w:t>
          </w:r>
        </w:hyperlink>
        <w:r>
          <w:rPr>
            <w:sz w:val="15"/>
            <w:szCs w:val="15"/>
          </w:rPr>
          <w:t>;</w:t>
        </w:r>
      </w:p>
    </w:sdtContent>
  </w:sdt>
  <w:p w:rsidR="00DF2EF5" w:rsidRDefault="00DF2EF5" w:rsidP="00DF2EF5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BA09A5" w:rsidRDefault="00BA09A5" w:rsidP="00DF2EF5">
    <w:pPr>
      <w:pStyle w:val="Footer"/>
      <w:tabs>
        <w:tab w:val="clear" w:pos="4513"/>
        <w:tab w:val="clear" w:pos="9026"/>
        <w:tab w:val="left" w:pos="31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80" w:rsidRDefault="00F64480" w:rsidP="00BA09A5">
      <w:pPr>
        <w:spacing w:after="0" w:line="240" w:lineRule="auto"/>
      </w:pPr>
      <w:r>
        <w:separator/>
      </w:r>
    </w:p>
  </w:footnote>
  <w:footnote w:type="continuationSeparator" w:id="0">
    <w:p w:rsidR="00F64480" w:rsidRDefault="00F64480" w:rsidP="00BA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E3"/>
    <w:multiLevelType w:val="hybridMultilevel"/>
    <w:tmpl w:val="88A4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04B"/>
    <w:multiLevelType w:val="hybridMultilevel"/>
    <w:tmpl w:val="5A8A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656"/>
    <w:multiLevelType w:val="hybridMultilevel"/>
    <w:tmpl w:val="F594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661"/>
    <w:multiLevelType w:val="hybridMultilevel"/>
    <w:tmpl w:val="E368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B40"/>
    <w:multiLevelType w:val="hybridMultilevel"/>
    <w:tmpl w:val="CE24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7DE"/>
    <w:multiLevelType w:val="hybridMultilevel"/>
    <w:tmpl w:val="4AB8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971"/>
    <w:multiLevelType w:val="hybridMultilevel"/>
    <w:tmpl w:val="1B2E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2AB"/>
    <w:multiLevelType w:val="hybridMultilevel"/>
    <w:tmpl w:val="1858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2A1E"/>
    <w:multiLevelType w:val="hybridMultilevel"/>
    <w:tmpl w:val="D36C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C6707"/>
    <w:multiLevelType w:val="hybridMultilevel"/>
    <w:tmpl w:val="645A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1057"/>
    <w:multiLevelType w:val="hybridMultilevel"/>
    <w:tmpl w:val="1406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64E0"/>
    <w:multiLevelType w:val="hybridMultilevel"/>
    <w:tmpl w:val="505E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C638D"/>
    <w:multiLevelType w:val="hybridMultilevel"/>
    <w:tmpl w:val="C29E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C74"/>
    <w:rsid w:val="00051FF0"/>
    <w:rsid w:val="00064482"/>
    <w:rsid w:val="0007121D"/>
    <w:rsid w:val="00073768"/>
    <w:rsid w:val="00074FE4"/>
    <w:rsid w:val="00097EF3"/>
    <w:rsid w:val="000B7B82"/>
    <w:rsid w:val="000C5216"/>
    <w:rsid w:val="001015D0"/>
    <w:rsid w:val="00101B57"/>
    <w:rsid w:val="001251D3"/>
    <w:rsid w:val="00151C74"/>
    <w:rsid w:val="0016272D"/>
    <w:rsid w:val="00175812"/>
    <w:rsid w:val="001A10F2"/>
    <w:rsid w:val="001D25CA"/>
    <w:rsid w:val="001E7658"/>
    <w:rsid w:val="001F770E"/>
    <w:rsid w:val="0020022D"/>
    <w:rsid w:val="00224E0B"/>
    <w:rsid w:val="00225148"/>
    <w:rsid w:val="00225B97"/>
    <w:rsid w:val="00231C14"/>
    <w:rsid w:val="00236C6E"/>
    <w:rsid w:val="0023788A"/>
    <w:rsid w:val="00246110"/>
    <w:rsid w:val="00253437"/>
    <w:rsid w:val="00270CBD"/>
    <w:rsid w:val="002957C1"/>
    <w:rsid w:val="002A656E"/>
    <w:rsid w:val="002B6BC5"/>
    <w:rsid w:val="002E0B0F"/>
    <w:rsid w:val="003151FF"/>
    <w:rsid w:val="00341061"/>
    <w:rsid w:val="003B3270"/>
    <w:rsid w:val="003C65A6"/>
    <w:rsid w:val="003C72D4"/>
    <w:rsid w:val="003D185A"/>
    <w:rsid w:val="00411369"/>
    <w:rsid w:val="00411E34"/>
    <w:rsid w:val="00446995"/>
    <w:rsid w:val="004576F3"/>
    <w:rsid w:val="00457B96"/>
    <w:rsid w:val="004B3719"/>
    <w:rsid w:val="004D11C8"/>
    <w:rsid w:val="004E0605"/>
    <w:rsid w:val="004F553B"/>
    <w:rsid w:val="0054534A"/>
    <w:rsid w:val="00586132"/>
    <w:rsid w:val="005B1AE9"/>
    <w:rsid w:val="005C5AB4"/>
    <w:rsid w:val="005E20A6"/>
    <w:rsid w:val="00606FF0"/>
    <w:rsid w:val="00655B07"/>
    <w:rsid w:val="00672F4E"/>
    <w:rsid w:val="00687CC9"/>
    <w:rsid w:val="006A2F05"/>
    <w:rsid w:val="006F2B8E"/>
    <w:rsid w:val="0070582A"/>
    <w:rsid w:val="00715A99"/>
    <w:rsid w:val="00740CB4"/>
    <w:rsid w:val="0078257D"/>
    <w:rsid w:val="007A3411"/>
    <w:rsid w:val="007A797E"/>
    <w:rsid w:val="007A7BF2"/>
    <w:rsid w:val="008149D8"/>
    <w:rsid w:val="00841270"/>
    <w:rsid w:val="00845461"/>
    <w:rsid w:val="008547D9"/>
    <w:rsid w:val="00863F5A"/>
    <w:rsid w:val="00886CAD"/>
    <w:rsid w:val="008B597E"/>
    <w:rsid w:val="008E2D9F"/>
    <w:rsid w:val="00905C2E"/>
    <w:rsid w:val="009143BA"/>
    <w:rsid w:val="009257D8"/>
    <w:rsid w:val="009351FF"/>
    <w:rsid w:val="00946EAC"/>
    <w:rsid w:val="00961FE4"/>
    <w:rsid w:val="00976B5E"/>
    <w:rsid w:val="0098092D"/>
    <w:rsid w:val="00992114"/>
    <w:rsid w:val="009A6BF4"/>
    <w:rsid w:val="009B5A4E"/>
    <w:rsid w:val="009C108A"/>
    <w:rsid w:val="009C46F4"/>
    <w:rsid w:val="009C7B43"/>
    <w:rsid w:val="00A20292"/>
    <w:rsid w:val="00A24631"/>
    <w:rsid w:val="00A31123"/>
    <w:rsid w:val="00A316D3"/>
    <w:rsid w:val="00A81395"/>
    <w:rsid w:val="00AB4E6D"/>
    <w:rsid w:val="00AF44B8"/>
    <w:rsid w:val="00B3032A"/>
    <w:rsid w:val="00B642EA"/>
    <w:rsid w:val="00BA09A5"/>
    <w:rsid w:val="00BF2BF8"/>
    <w:rsid w:val="00C13499"/>
    <w:rsid w:val="00C35BAB"/>
    <w:rsid w:val="00C504CC"/>
    <w:rsid w:val="00C57B35"/>
    <w:rsid w:val="00C7080C"/>
    <w:rsid w:val="00CF10DD"/>
    <w:rsid w:val="00D77189"/>
    <w:rsid w:val="00DA28C6"/>
    <w:rsid w:val="00DB4080"/>
    <w:rsid w:val="00DE5BB3"/>
    <w:rsid w:val="00DF2EF5"/>
    <w:rsid w:val="00E02934"/>
    <w:rsid w:val="00E109B6"/>
    <w:rsid w:val="00E16286"/>
    <w:rsid w:val="00E40A77"/>
    <w:rsid w:val="00E71259"/>
    <w:rsid w:val="00E84B9B"/>
    <w:rsid w:val="00E912E7"/>
    <w:rsid w:val="00EA4078"/>
    <w:rsid w:val="00EC552C"/>
    <w:rsid w:val="00EC6B7C"/>
    <w:rsid w:val="00EE56AC"/>
    <w:rsid w:val="00F101F4"/>
    <w:rsid w:val="00F503E8"/>
    <w:rsid w:val="00F64480"/>
    <w:rsid w:val="00F870D7"/>
    <w:rsid w:val="00F95DC8"/>
    <w:rsid w:val="00FA3E2C"/>
    <w:rsid w:val="00FA509B"/>
    <w:rsid w:val="00FB00F0"/>
    <w:rsid w:val="00F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7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961FE4"/>
    <w:pPr>
      <w:ind w:left="720"/>
      <w:contextualSpacing/>
    </w:pPr>
    <w:rPr>
      <w:lang w:val="sq-AL"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9A6BF4"/>
    <w:pPr>
      <w:ind w:left="720"/>
    </w:pPr>
    <w:rPr>
      <w:rFonts w:ascii="Calibri" w:hAnsi="Calibri" w:cs="Times New Roman"/>
    </w:r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9A6BF4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9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A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A0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vrexha</dc:creator>
  <cp:lastModifiedBy>mtafarsh</cp:lastModifiedBy>
  <cp:revision>27</cp:revision>
  <dcterms:created xsi:type="dcterms:W3CDTF">2017-02-13T14:59:00Z</dcterms:created>
  <dcterms:modified xsi:type="dcterms:W3CDTF">2017-04-28T12:56:00Z</dcterms:modified>
</cp:coreProperties>
</file>