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7809C9" w:rsidP="007809C9">
      <w:pPr>
        <w:jc w:val="center"/>
      </w:pPr>
      <w:r w:rsidRPr="007809C9">
        <w:rPr>
          <w:noProof/>
          <w:lang w:val="en-US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27" w:rsidRDefault="008D3F27" w:rsidP="008D3F27"/>
    <w:p w:rsidR="007809C9" w:rsidRDefault="007809C9" w:rsidP="008D3F27"/>
    <w:p w:rsidR="007809C9" w:rsidRDefault="007809C9" w:rsidP="008D3F27"/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GODIŠNJI IZVEŠTAJ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 xml:space="preserve"> </w:t>
      </w: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PROVAJDERA AUDIO I AUDIOVIZUELNIH MEDIJSKIH USLUGA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893BCA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ZA 202</w:t>
      </w:r>
      <w:r w:rsidR="00B5146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2</w:t>
      </w:r>
      <w:r w:rsidR="007809C9"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. GODINU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R</w:t>
      </w:r>
      <w:r w:rsidR="00104C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ok za izveštavanje: 31. mart 202</w:t>
      </w:r>
      <w:r w:rsidR="00B514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3</w:t>
      </w: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. godine</w:t>
      </w:r>
    </w:p>
    <w:p w:rsidR="00CA6334" w:rsidRPr="00CA6334" w:rsidRDefault="00CA6334" w:rsidP="00CA6334"/>
    <w:p w:rsidR="00CA6334" w:rsidRPr="00CA6334" w:rsidRDefault="00CA6334" w:rsidP="00CA6334"/>
    <w:p w:rsidR="007809C9" w:rsidRPr="006441D8" w:rsidRDefault="007809C9" w:rsidP="007809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lastRenderedPageBreak/>
        <w:t>GODIŠNJE IZVEŠTAVANJE</w:t>
      </w:r>
    </w:p>
    <w:p w:rsidR="007809C9" w:rsidRPr="006441D8" w:rsidRDefault="007809C9" w:rsidP="007809C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Zašto treba izveštavati?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Dostavljanje godišnjih izveštaja od strane provajdera audio i audiovizuelnih medijskih usluga (PAMU) je zakonska obaveza koja proizilazi iz </w:t>
      </w:r>
      <w:hyperlink r:id="rId9" w:history="1">
        <w:r w:rsidRPr="00CE508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Zakona br. 04/L-44 o Nezavisnoj komisiji za medije</w:t>
        </w:r>
      </w:hyperlink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, odnosno iz njegovog člana 28. U svojim godišnjim izveštajima PAMU treba da </w:t>
      </w:r>
      <w:r>
        <w:rPr>
          <w:rFonts w:ascii="Times New Roman" w:hAnsi="Times New Roman" w:cs="Times New Roman"/>
          <w:sz w:val="24"/>
          <w:szCs w:val="24"/>
          <w:lang w:val="sr-Latn-CS"/>
        </w:rPr>
        <w:t>uključi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informacije u vezi sa programom i postupcima u skladu sa uslovima licence zajedno sa detaljnim finansijskim izveštajem, kao i druge informacije po potrebi.</w:t>
      </w:r>
    </w:p>
    <w:p w:rsidR="007809C9" w:rsidRPr="007809C9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Podaci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izveštavanj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: </w:t>
      </w:r>
    </w:p>
    <w:p w:rsidR="007809C9" w:rsidRPr="00CE5081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Podaci koji se zahtevaju u godišnjem izveštaju uglavnom se odnose na informacije o programskom sadržaju pruženim od licenciranog tokom dotične godine o kojoj se izveštava, podaci o godišnjem finansijskom bilansu i druge relevantne informacije koje su neophodne </w:t>
      </w:r>
      <w:r>
        <w:rPr>
          <w:rFonts w:ascii="Times New Roman" w:hAnsi="Times New Roman" w:cs="Times New Roman"/>
          <w:sz w:val="24"/>
          <w:szCs w:val="24"/>
          <w:lang w:val="sr-Latn-CS"/>
        </w:rPr>
        <w:t>da budu dostupne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NKM-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. Ovi podaci se smatraju važnim pokazateljem za pružanje NKM-u jasniju sliku o pruženim uslugama koje pruža licencirani  u javnom interesu (programski sadržaj) i o finansijskoj stabilnosti i opštem razvoju licenciranog. Podaci koji se pružaju kroz godišnji izveštaj će omogućiti procenu audiovizuelnog medijskog sektora </w:t>
      </w:r>
      <w:r>
        <w:rPr>
          <w:rFonts w:ascii="Times New Roman" w:hAnsi="Times New Roman" w:cs="Times New Roman"/>
          <w:sz w:val="24"/>
          <w:szCs w:val="24"/>
          <w:lang w:val="sr-Latn-CS"/>
        </w:rPr>
        <w:t>i posluži će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kao osnova za izradu i reformu sekundarnog zakonodavstva kao i za izradu politika emitovanja vezanih sa razvojem  audiovizuelnog medijskog tržišta.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Rokovi za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izveštavanje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 dopunu podataka: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Godišnji izveštaji sa zatraženim podacima moraju biti dostavljeni u kancelariju NKM-a najkasnije do </w:t>
      </w:r>
      <w:r w:rsidR="00104C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</w:t>
      </w:r>
      <w:r w:rsidR="00B5146F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informacija koje su dostavljene u godišnjem izveštaju su nepotpune, NKM može zatražiti da se u određenom vremenskom roku pošalju dodatne informacije za kompletiranje podataka i za proveru tačnosti pruženih informacija. </w:t>
      </w:r>
    </w:p>
    <w:p w:rsidR="007809C9" w:rsidRPr="007809C9" w:rsidRDefault="007809C9" w:rsidP="007809C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</w:p>
    <w:p w:rsidR="000B45B2" w:rsidRDefault="007809C9" w:rsidP="007809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>NKM  neće objaviti nijednom licenciranom  osetljive finansijske i komercijalne informacije  koje su predstavljene u ovom godišnjem izveštaju, osim u slučajevima kada se zakonom zahteva da se drugačije postupa.</w:t>
      </w:r>
    </w:p>
    <w:p w:rsidR="000B45B2" w:rsidRPr="008401AB" w:rsidRDefault="000B45B2" w:rsidP="00BC3E0E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sz w:val="24"/>
          <w:szCs w:val="24"/>
          <w:lang w:val="sr-Latn-C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8"/>
        <w:gridCol w:w="294"/>
        <w:gridCol w:w="3110"/>
        <w:gridCol w:w="1231"/>
        <w:gridCol w:w="1544"/>
        <w:gridCol w:w="1177"/>
        <w:gridCol w:w="65"/>
      </w:tblGrid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496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122462" w:rsidRDefault="007809C9" w:rsidP="0012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PODACI O LICENCIRANOM</w:t>
            </w:r>
          </w:p>
        </w:tc>
      </w:tr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8401AB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Imenovanje prema licenci: 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5081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  <w:bookmarkEnd w:id="0"/>
          </w:p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CE5081" w:rsidRPr="006441D8" w:rsidTr="00BC3E0E">
        <w:trPr>
          <w:gridAfter w:val="1"/>
          <w:wAfter w:w="32" w:type="pct"/>
          <w:trHeight w:val="657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Ukupan broj osoblja </w:t>
            </w:r>
          </w:p>
          <w:p w:rsidR="00CE5081" w:rsidRPr="008401AB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(ukupno zaposlenih):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/Vlasnici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(ime i prezime):</w:t>
            </w:r>
            <w:r w:rsidR="007E081F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ootnoteReference w:id="1"/>
            </w:r>
          </w:p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  <w:tc>
          <w:tcPr>
            <w:tcW w:w="13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Vlasništvo u drugim medijima: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(pružite objašnjenje) / Ne</w:t>
            </w:r>
          </w:p>
          <w:p w:rsidR="00820F72" w:rsidRPr="0096408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Direktor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Glavni urednik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Tehnički direktor (ime i prezime):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Stručno osoblje/Novinar/Tehničar (broj):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Marketing (broj)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Uprava/Drugi (broj):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446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Telefoni i Fax: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 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Veb sajt: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</w:tr>
      <w:tr w:rsidR="00820F72" w:rsidRPr="006441D8" w:rsidTr="00BC3E0E">
        <w:trPr>
          <w:trHeight w:val="25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EMITOVANJA</w:t>
            </w: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3450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zemaljskom emitovanju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A1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(podvucite odgovor)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Nacionalnom</w:t>
            </w:r>
          </w:p>
          <w:p w:rsidR="00820F72" w:rsidRPr="00CE5081" w:rsidRDefault="00820F72" w:rsidP="00CE50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Regionalnom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Lokalnom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69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Sa slabom snagom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645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Putem  distributivnih operatora (kablovskih, IPTV-a, drugo):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Kojem/kojim distributivnim operatorima (unesite imena operatora)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2"/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 kojim opštinama: 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20F72" w:rsidRPr="006441D8" w:rsidTr="00BC3E0E">
        <w:trPr>
          <w:gridAfter w:val="3"/>
          <w:wAfter w:w="1366" w:type="pct"/>
          <w:trHeight w:val="300"/>
        </w:trPr>
        <w:tc>
          <w:tcPr>
            <w:tcW w:w="3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F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</w:tbl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3667"/>
        <w:gridCol w:w="2551"/>
        <w:gridCol w:w="3404"/>
        <w:gridCol w:w="3669"/>
      </w:tblGrid>
      <w:tr w:rsidR="007809C9" w:rsidRPr="006441D8" w:rsidTr="007809C9">
        <w:trPr>
          <w:trHeight w:val="637"/>
        </w:trPr>
        <w:tc>
          <w:tcPr>
            <w:tcW w:w="13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F4648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FINANSIJSKI PODACI ZA 202</w:t>
            </w:r>
            <w:r w:rsidR="00517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. GODINU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</w:tr>
      <w:tr w:rsidR="007809C9" w:rsidRPr="006441D8" w:rsidTr="00F5286E">
        <w:trPr>
          <w:trHeight w:val="537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F4648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Prihodi  (202</w:t>
            </w:r>
            <w:r w:rsidR="00D740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)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7809C9" w:rsidRPr="006441D8" w:rsidRDefault="00F46487" w:rsidP="0089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Rashodi (202</w:t>
            </w:r>
            <w:r w:rsidR="00D740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) 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Prenesena sredstva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iz</w:t>
            </w:r>
            <w:r w:rsidR="00517986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  <w:bookmarkStart w:id="3" w:name="_GoBack"/>
            <w:r w:rsidR="00517986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2021</w:t>
            </w:r>
            <w:bookmarkEnd w:id="3"/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. godine: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CE5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bookmarkEnd w:id="4"/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Plate: </w:t>
            </w: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517986" w:rsidP="00897DF3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Ukupni prihodi (2022</w:t>
            </w:r>
            <w:r w:rsidR="00095AA7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Kupovina programa: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Ukupni budžet: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Investicije za izgradnju tehničkih kapaciteta (oprema za studio ili emitovanje):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7E081F">
        <w:trPr>
          <w:trHeight w:val="892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89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Ukupni prihodi tokom fiskalne 20</w:t>
            </w:r>
            <w:r w:rsidR="00F464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</w:t>
            </w:r>
            <w:r w:rsidR="005179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. godine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Investicije za izgradnju ljudskih kapaciteta (stručne obuke/razvoj):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4D503B">
        <w:trPr>
          <w:trHeight w:val="645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Komercijalne komunikacije: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CE5081" w:rsidP="004D503B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Ostali rashodi (objasnite):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425A56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095AA7" w:rsidRPr="006441D8" w:rsidTr="00095AA7">
        <w:trPr>
          <w:trHeight w:val="58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Obaveštenja i oglasi:</w:t>
            </w: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09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Ugovor sa drugim subjektima/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drugim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PAM-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im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a (prodaja programa):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47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Prihodi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javnih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fondova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color w:val="000000"/>
              </w:rPr>
              <w:footnoteReference w:id="2"/>
            </w:r>
          </w:p>
          <w:p w:rsidR="00095AA7" w:rsidRPr="00F5286E" w:rsidRDefault="00095AA7" w:rsidP="00F5286E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4D503B">
        <w:trPr>
          <w:trHeight w:val="4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Drugi prihodi i/ili donacije  (objasnite):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UKUPNO: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</w:tbl>
    <w:p w:rsidR="00F5286E" w:rsidRDefault="00F5286E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8401AB" w:rsidRDefault="008401AB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1310"/>
        <w:gridCol w:w="3661"/>
        <w:gridCol w:w="5665"/>
        <w:gridCol w:w="1542"/>
        <w:gridCol w:w="416"/>
      </w:tblGrid>
      <w:tr w:rsidR="00F5286E" w:rsidRPr="00E07E9A" w:rsidTr="000A6050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5286E" w:rsidRPr="00E07E9A" w:rsidRDefault="00D6330A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VRSTA PROGRAMA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Program javne usluge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Kategorija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Podkategorija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Informativni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Vesti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Debate/intervjui o pitanjima od javnog interesa/Aktuelni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Oglasi/obaveštenja od interesa za javnost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edukativnog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Edukativni programi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1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o umetnosti i kulturi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5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Zabavni programi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program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84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Kinematografska zabavna dela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Serije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Radio/televizijske drame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0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zabavnog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Zabavne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Crtani 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Ostali zabavni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KAVK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Komercijalne audio-vizualne komunikacije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Reklame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Telešoping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Promo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Promo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Najava programa/Reklamiranje sopstvenog programa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UKUPNO: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B45B2" w:rsidRDefault="000B45B2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903D6" w:rsidRDefault="000B45B2" w:rsidP="000B45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br w:type="page"/>
      </w:r>
    </w:p>
    <w:p w:rsidR="00E07E9A" w:rsidRDefault="00E07E9A" w:rsidP="004D4F7A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OBJAŠNJENJA O ZATRAŽENIM INFORMACIJAMA U TABELI O VRSTI I IZVORU PROGRAMA:</w:t>
      </w:r>
    </w:p>
    <w:p w:rsidR="007809C9" w:rsidRPr="006441D8" w:rsidRDefault="007809C9" w:rsidP="007809C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Informativni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 (U službi javnosti): Program javnog servisa sastoji se od vesti, diskusija i intervjua o pitanjima od javnog interesa;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aktuelnog obrazovnog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odrasle ili decu kojima je potrebna podrška ili koji menjaju verovanje o temama ili modelima;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zabavnog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decu sa obrazovnim temama;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dokumentarnog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; kultur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, čiji je glavni cilj informisanje a ne zabava.</w:t>
      </w:r>
    </w:p>
    <w:p w:rsidR="004D4F7A" w:rsidRPr="006441D8" w:rsidRDefault="004D4F7A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Zabavni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Narodna /moderna muzika, filmovi, igre, sport, drama, komercijalna komedija kao i programi vezani sa njima.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Program sopstvene proizvodnje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programski paketi koji uključuju zabavni materijal i onaj javnih usluga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koji su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proizvedeni i predstavljeni od strane licenciranog.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Reemitovani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drugi programski paketi osigurani od strane drugih domaćih ili stranih prenosnika, obično putem  satelita i reemitovani od strane licenciranog na osnovu ugovora sa prvim producentom ili prenosnikom.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Spoljni komercijalni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: Programi koji su dobijeni na osnovu važećeg komercijalnog ugovora, obično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snimljenom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obliku, kao što su filmovi.</w:t>
      </w:r>
    </w:p>
    <w:p w:rsidR="007809C9" w:rsidRDefault="007809C9" w:rsidP="004D4F7A">
      <w:pPr>
        <w:spacing w:after="0" w:line="240" w:lineRule="auto"/>
        <w:jc w:val="both"/>
      </w:pPr>
    </w:p>
    <w:p w:rsidR="008401AB" w:rsidRDefault="008401AB" w:rsidP="004D4F7A">
      <w:pPr>
        <w:spacing w:line="240" w:lineRule="auto"/>
      </w:pPr>
    </w:p>
    <w:p w:rsidR="008401AB" w:rsidRDefault="008401AB" w:rsidP="008401AB">
      <w:pPr>
        <w:pStyle w:val="NormalWeb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7809C9" w:rsidRDefault="007809C9" w:rsidP="007809C9">
      <w:pPr>
        <w:spacing w:after="0" w:line="360" w:lineRule="auto"/>
        <w:jc w:val="both"/>
      </w:pPr>
    </w:p>
    <w:p w:rsidR="00D6330A" w:rsidRDefault="00D6330A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DODATNE INFORMACIJE O DOGAĐAJ</w:t>
      </w:r>
      <w:r w:rsidR="00F46487">
        <w:rPr>
          <w:rFonts w:ascii="Times New Roman" w:hAnsi="Times New Roman" w:cs="Times New Roman"/>
          <w:b/>
          <w:sz w:val="24"/>
          <w:szCs w:val="24"/>
          <w:lang w:val="sr-Latn-CS"/>
        </w:rPr>
        <w:t>IMA KOJI SU SE DESILI TOKOM  202</w:t>
      </w:r>
      <w:r w:rsidR="00517986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>. GODINE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(Vezano sa programom, finansijskim aspektom i osobljem)</w:t>
      </w:r>
    </w:p>
    <w:p w:rsidR="007809C9" w:rsidRPr="006441D8" w:rsidRDefault="007809C9" w:rsidP="007809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cr/>
      </w: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ili promena programa:</w:t>
      </w:r>
    </w:p>
    <w:p w:rsidR="007809C9" w:rsidRPr="006441D8" w:rsidRDefault="007809C9" w:rsidP="0078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godinom, objasnite da li je bilo promena/razvoja u programskim kategorijama. Pod ovim promenama i razvojem podrazumeva se promena njihovih kvota (iznos u minutima/satima) u okviru programske šeme. 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finansijskom pogledu: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 objasnite koja je bila situacija u pogledu finansijske održivosti. Identifikujte faktore koji su uticali, po vašoj proceni, u poboljšanju (ili stagnaciji) generisanja ukupnih prihoda.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Razvoj u izgradnji ljudskih kapaciteta (zajedno sa razlogom zašto su se desili/nisu se desili)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izgradnji tehničkih kapaciteta (zajedno sa razlogom zašto su se desili/nisu se desili)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51"/>
        <w:gridCol w:w="9458"/>
      </w:tblGrid>
      <w:tr w:rsidR="007809C9" w:rsidRPr="006441D8" w:rsidTr="007E08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Priložiti: </w:t>
            </w: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Default="00567C47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Pr="000B6938" w:rsidRDefault="00567C47" w:rsidP="00567C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Detaljnu programs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ku šemu za jednu nedelju (za 202</w:t>
            </w:r>
            <w:r w:rsidR="00517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godinu).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Zajedno sa priloženom šemom navedite 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objašnjenje ukoliko je tokom 202</w:t>
            </w:r>
            <w:r w:rsidR="00517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. godine  bilo perioda kada je šema pretrpela promene (ako je bilo promena, koje su bile). 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9B5C5E" w:rsidRPr="009B5C5E" w:rsidRDefault="007809C9" w:rsidP="009B5C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Cenovnik reklamnih i drugih obaveštenja 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plaćanjem (primenljivo tokom 202</w:t>
            </w:r>
            <w:r w:rsidR="00517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godine)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9B5C5E" w:rsidRPr="009B5C5E" w:rsidRDefault="009B5C5E" w:rsidP="009B5C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Dodatna pojašnjenja koja su potrebna u različitim delovima obrasca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izveštavanj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7809C9" w:rsidRPr="00567C47" w:rsidRDefault="007809C9" w:rsidP="005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189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7809C9" w:rsidRPr="00CA6334" w:rsidRDefault="007809C9" w:rsidP="007809C9">
      <w:pPr>
        <w:spacing w:after="0" w:line="360" w:lineRule="auto"/>
        <w:jc w:val="both"/>
      </w:pPr>
    </w:p>
    <w:sectPr w:rsidR="007809C9" w:rsidRPr="00CA6334" w:rsidSect="007809C9">
      <w:headerReference w:type="default" r:id="rId10"/>
      <w:footerReference w:type="default" r:id="rId11"/>
      <w:pgSz w:w="15840" w:h="12240" w:orient="landscape"/>
      <w:pgMar w:top="1440" w:right="1381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17" w:rsidRDefault="00690F17" w:rsidP="004D58C1">
      <w:pPr>
        <w:spacing w:after="0" w:line="240" w:lineRule="auto"/>
      </w:pPr>
      <w:r>
        <w:separator/>
      </w:r>
    </w:p>
  </w:endnote>
  <w:endnote w:type="continuationSeparator" w:id="0">
    <w:p w:rsidR="00690F17" w:rsidRDefault="00690F17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F" w:rsidRDefault="007E081F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7E081F" w:rsidRDefault="007E081F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>Tel: (</w:t>
    </w:r>
    <w:r w:rsidR="00F46487">
      <w:rPr>
        <w:sz w:val="15"/>
        <w:szCs w:val="15"/>
      </w:rPr>
      <w:t>+383) (0) 38 245 031, Fax: (+383</w:t>
    </w:r>
    <w:r w:rsidRPr="00D5402C">
      <w:rPr>
        <w:sz w:val="15"/>
        <w:szCs w:val="15"/>
      </w:rPr>
      <w:t xml:space="preserve">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7E081F" w:rsidRDefault="007E081F" w:rsidP="007809C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7E081F" w:rsidRDefault="00425A56" w:rsidP="007809C9">
    <w:pPr>
      <w:pStyle w:val="Footer"/>
      <w:jc w:val="center"/>
    </w:pP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PAGE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D740BB">
      <w:rPr>
        <w:rFonts w:ascii="Times New Roman" w:hAnsi="Times New Roman" w:cs="Times New Roman"/>
        <w:noProof/>
        <w:sz w:val="16"/>
        <w:szCs w:val="16"/>
      </w:rPr>
      <w:t>13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  <w:r w:rsidR="007E081F" w:rsidRPr="004C526D">
      <w:rPr>
        <w:rFonts w:ascii="Times New Roman" w:hAnsi="Times New Roman" w:cs="Times New Roman"/>
        <w:sz w:val="16"/>
        <w:szCs w:val="16"/>
      </w:rPr>
      <w:t>/</w:t>
    </w: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D740BB">
      <w:rPr>
        <w:rFonts w:ascii="Times New Roman" w:hAnsi="Times New Roman" w:cs="Times New Roman"/>
        <w:noProof/>
        <w:sz w:val="16"/>
        <w:szCs w:val="16"/>
      </w:rPr>
      <w:t>13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</w:p>
  <w:p w:rsidR="007E081F" w:rsidRPr="00D5402C" w:rsidRDefault="007E081F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17" w:rsidRDefault="00690F17" w:rsidP="004D58C1">
      <w:pPr>
        <w:spacing w:after="0" w:line="240" w:lineRule="auto"/>
      </w:pPr>
      <w:r>
        <w:separator/>
      </w:r>
    </w:p>
  </w:footnote>
  <w:footnote w:type="continuationSeparator" w:id="0">
    <w:p w:rsidR="00690F17" w:rsidRDefault="00690F17" w:rsidP="004D58C1">
      <w:pPr>
        <w:spacing w:after="0" w:line="240" w:lineRule="auto"/>
      </w:pPr>
      <w:r>
        <w:continuationSeparator/>
      </w:r>
    </w:p>
  </w:footnote>
  <w:footnote w:id="1">
    <w:p w:rsidR="007E081F" w:rsidRPr="007E081F" w:rsidRDefault="007E08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e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od 10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posto (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%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)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o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snovnog kapitala od strane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audiovizuelne medijske uslugei/ili</w:t>
      </w:r>
      <w:r w:rsidRP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vjegove</w:t>
      </w:r>
      <w:r w:rsidR="00B76A91">
        <w:rPr>
          <w:rFonts w:eastAsia="Times New Roman"/>
          <w:lang w:val="sr-Latn-CS"/>
        </w:rPr>
        <w:t xml:space="preserve">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, dok kod podataka o vlasni</w:t>
      </w:r>
      <w:r w:rsidR="00B76A91"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(novine, portal....)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  <w:footnote w:id="2">
    <w:p w:rsidR="00095AA7" w:rsidRPr="00167CC3" w:rsidRDefault="00095A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Kod </w:t>
      </w:r>
      <w:proofErr w:type="spellStart"/>
      <w:r>
        <w:rPr>
          <w:rFonts w:ascii="Times New Roman" w:hAnsi="Times New Roman" w:cs="Times New Roman"/>
          <w:b/>
          <w:highlight w:val="lightGray"/>
        </w:rPr>
        <w:t>podataka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za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prihode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iz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b/>
          <w:highlight w:val="lightGray"/>
        </w:rPr>
        <w:t>javni</w:t>
      </w:r>
      <w:r>
        <w:rPr>
          <w:rFonts w:ascii="Times New Roman" w:hAnsi="Times New Roman" w:cs="Times New Roman"/>
          <w:b/>
          <w:highlight w:val="lightGray"/>
        </w:rPr>
        <w:t>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sondova </w:t>
      </w:r>
      <w:proofErr w:type="spellStart"/>
      <w:r>
        <w:rPr>
          <w:rFonts w:ascii="Times New Roman" w:hAnsi="Times New Roman" w:cs="Times New Roman"/>
          <w:highlight w:val="lightGray"/>
        </w:rPr>
        <w:t>podrazumeva</w:t>
      </w:r>
      <w:proofErr w:type="spellEnd"/>
      <w:r>
        <w:rPr>
          <w:rFonts w:ascii="Times New Roman" w:hAnsi="Times New Roman" w:cs="Times New Roman"/>
          <w:highlight w:val="lightGray"/>
        </w:rPr>
        <w:t xml:space="preserve"> se </w:t>
      </w:r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highlight w:val="lightGray"/>
        </w:rPr>
        <w:t>s</w:t>
      </w:r>
      <w:r w:rsidRPr="00167CC3">
        <w:rPr>
          <w:rFonts w:ascii="Times New Roman" w:hAnsi="Times New Roman" w:cs="Times New Roman"/>
          <w:highlight w:val="lightGray"/>
        </w:rPr>
        <w:t>vaka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novčana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vrednost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dodeljena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domaćeg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budžeta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centralnog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lokalnog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uključujući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prihode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društvenih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preduzeća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i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drugih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subjekata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u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kojima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poseduje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većinu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akcija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kapitala</w:t>
      </w:r>
      <w:proofErr w:type="spellEnd"/>
      <w:r w:rsidRPr="00167CC3">
        <w:rPr>
          <w:rFonts w:ascii="Times New Roman" w:hAnsi="Times New Roman" w:cs="Times New Roman"/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F" w:rsidRDefault="007E081F" w:rsidP="008D3F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B95"/>
    <w:multiLevelType w:val="hybridMultilevel"/>
    <w:tmpl w:val="63E6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4F8"/>
    <w:multiLevelType w:val="hybridMultilevel"/>
    <w:tmpl w:val="AEEA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0"/>
    <w:rsid w:val="00022A41"/>
    <w:rsid w:val="000278AE"/>
    <w:rsid w:val="00066E20"/>
    <w:rsid w:val="00095AA7"/>
    <w:rsid w:val="000A6050"/>
    <w:rsid w:val="000B44DE"/>
    <w:rsid w:val="000B45B2"/>
    <w:rsid w:val="000B6938"/>
    <w:rsid w:val="000D23C4"/>
    <w:rsid w:val="000D7EFA"/>
    <w:rsid w:val="00104C3C"/>
    <w:rsid w:val="00114174"/>
    <w:rsid w:val="00122462"/>
    <w:rsid w:val="00141CD5"/>
    <w:rsid w:val="00167CC3"/>
    <w:rsid w:val="00217041"/>
    <w:rsid w:val="00270512"/>
    <w:rsid w:val="00276069"/>
    <w:rsid w:val="00316BC9"/>
    <w:rsid w:val="00376405"/>
    <w:rsid w:val="003E79AA"/>
    <w:rsid w:val="00425A56"/>
    <w:rsid w:val="004444F2"/>
    <w:rsid w:val="00450C17"/>
    <w:rsid w:val="004933D2"/>
    <w:rsid w:val="004D4F7A"/>
    <w:rsid w:val="004D503B"/>
    <w:rsid w:val="004D58C1"/>
    <w:rsid w:val="004E0930"/>
    <w:rsid w:val="005178D9"/>
    <w:rsid w:val="00517986"/>
    <w:rsid w:val="00567C47"/>
    <w:rsid w:val="005A7AD2"/>
    <w:rsid w:val="005D4B17"/>
    <w:rsid w:val="00650E22"/>
    <w:rsid w:val="00690F17"/>
    <w:rsid w:val="007124AD"/>
    <w:rsid w:val="007179E0"/>
    <w:rsid w:val="007446CA"/>
    <w:rsid w:val="0074605F"/>
    <w:rsid w:val="00760EF6"/>
    <w:rsid w:val="007809C9"/>
    <w:rsid w:val="00797EA6"/>
    <w:rsid w:val="007B123D"/>
    <w:rsid w:val="007E081F"/>
    <w:rsid w:val="00820F72"/>
    <w:rsid w:val="008401AB"/>
    <w:rsid w:val="00893BCA"/>
    <w:rsid w:val="00897DF3"/>
    <w:rsid w:val="008D0AC4"/>
    <w:rsid w:val="008D3F27"/>
    <w:rsid w:val="008E344B"/>
    <w:rsid w:val="008E6C41"/>
    <w:rsid w:val="00900496"/>
    <w:rsid w:val="0090367C"/>
    <w:rsid w:val="00922725"/>
    <w:rsid w:val="0097348D"/>
    <w:rsid w:val="00982485"/>
    <w:rsid w:val="00983365"/>
    <w:rsid w:val="00996461"/>
    <w:rsid w:val="009B5C5E"/>
    <w:rsid w:val="009C2C26"/>
    <w:rsid w:val="009E003E"/>
    <w:rsid w:val="009F0B99"/>
    <w:rsid w:val="00A549E8"/>
    <w:rsid w:val="00A91C8A"/>
    <w:rsid w:val="00A91DC8"/>
    <w:rsid w:val="00A9308A"/>
    <w:rsid w:val="00AA2112"/>
    <w:rsid w:val="00AA5333"/>
    <w:rsid w:val="00B148FF"/>
    <w:rsid w:val="00B1531D"/>
    <w:rsid w:val="00B226E3"/>
    <w:rsid w:val="00B5146F"/>
    <w:rsid w:val="00B60C23"/>
    <w:rsid w:val="00B76A91"/>
    <w:rsid w:val="00B86FDD"/>
    <w:rsid w:val="00BB2F16"/>
    <w:rsid w:val="00BC3E0E"/>
    <w:rsid w:val="00C52860"/>
    <w:rsid w:val="00CA6334"/>
    <w:rsid w:val="00CC0211"/>
    <w:rsid w:val="00CE151D"/>
    <w:rsid w:val="00CE5081"/>
    <w:rsid w:val="00D13492"/>
    <w:rsid w:val="00D209B3"/>
    <w:rsid w:val="00D43B1C"/>
    <w:rsid w:val="00D5402C"/>
    <w:rsid w:val="00D6330A"/>
    <w:rsid w:val="00D740BB"/>
    <w:rsid w:val="00D903D6"/>
    <w:rsid w:val="00D96D13"/>
    <w:rsid w:val="00DC5588"/>
    <w:rsid w:val="00E07E9A"/>
    <w:rsid w:val="00E21246"/>
    <w:rsid w:val="00E772FB"/>
    <w:rsid w:val="00E80239"/>
    <w:rsid w:val="00EB4138"/>
    <w:rsid w:val="00F274E5"/>
    <w:rsid w:val="00F3267D"/>
    <w:rsid w:val="00F356A8"/>
    <w:rsid w:val="00F46487"/>
    <w:rsid w:val="00F52492"/>
    <w:rsid w:val="00F5286E"/>
    <w:rsid w:val="00F97F6C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1F893"/>
  <w15:docId w15:val="{D256CB84-AEBD-4E52-9A6E-4C6E3DCA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C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9C9"/>
    <w:pPr>
      <w:ind w:left="720"/>
      <w:contextualSpacing/>
    </w:pPr>
  </w:style>
  <w:style w:type="table" w:styleId="TableGrid">
    <w:name w:val="Table Grid"/>
    <w:basedOn w:val="TableNormal"/>
    <w:uiPriority w:val="59"/>
    <w:rsid w:val="0078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Char Char"/>
    <w:basedOn w:val="DefaultParagraphFont"/>
    <w:link w:val="NormalWeb"/>
    <w:semiHidden/>
    <w:locked/>
    <w:rsid w:val="008401AB"/>
    <w:rPr>
      <w:rFonts w:ascii="Calibri" w:hAnsi="Calibri" w:cs="Times New Roman"/>
    </w:r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8401AB"/>
    <w:pPr>
      <w:ind w:left="720"/>
    </w:pPr>
    <w:rPr>
      <w:rFonts w:ascii="Calibri" w:hAnsi="Calibri" w:cs="Times New Roman"/>
      <w:lang w:val="en-US"/>
    </w:rPr>
  </w:style>
  <w:style w:type="paragraph" w:customStyle="1" w:styleId="Default">
    <w:name w:val="Default"/>
    <w:rsid w:val="0021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1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E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-ks.org/?gjuha=2&amp;faqe=1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C4A3-D210-44EF-9FF8-65D69FA4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13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Dreshaj, Arsim</cp:lastModifiedBy>
  <cp:revision>2</cp:revision>
  <dcterms:created xsi:type="dcterms:W3CDTF">2023-02-28T14:26:00Z</dcterms:created>
  <dcterms:modified xsi:type="dcterms:W3CDTF">2023-02-28T14:26:00Z</dcterms:modified>
</cp:coreProperties>
</file>