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77" w:rsidRDefault="00FF6A77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9977A9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TRE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5035BF">
        <w:rPr>
          <w:rFonts w:ascii="Garamond" w:hAnsi="Garamond"/>
          <w:b/>
          <w:bCs/>
          <w:i/>
          <w:iCs/>
          <w:color w:val="000000"/>
        </w:rPr>
        <w:t>29</w:t>
      </w:r>
      <w:bookmarkStart w:id="1" w:name="_GoBack"/>
      <w:bookmarkEnd w:id="1"/>
      <w:r w:rsidR="009977A9">
        <w:rPr>
          <w:rFonts w:ascii="Garamond" w:hAnsi="Garamond"/>
          <w:b/>
          <w:bCs/>
          <w:i/>
          <w:iCs/>
          <w:color w:val="000000"/>
        </w:rPr>
        <w:t xml:space="preserve"> prill</w:t>
      </w:r>
      <w:r w:rsidR="00FF6A77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9977A9">
        <w:rPr>
          <w:rFonts w:ascii="Garamond" w:hAnsi="Garamond"/>
          <w:b/>
          <w:bCs/>
          <w:i/>
          <w:iCs/>
          <w:color w:val="000000"/>
        </w:rPr>
        <w:t>1</w:t>
      </w:r>
    </w:p>
    <w:p w:rsidR="000E7540" w:rsidRDefault="009D43A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Mediave/Nezavisna Komisija za Medije/Independent Media Commission, Rr.Ul.Str. Perandori Justinian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Pejton, 10000 Prishtinë-Prištin- Pristina/Kosovë-Kosovo, Tel: (+381) (0) 38 245 031, Fax: (+381) (0) 38 245 034, E-mail: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9D43A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617CAB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2" w:name="_Toc377021022"/>
    </w:p>
    <w:p w:rsidR="000E7540" w:rsidRDefault="000E7540" w:rsidP="000E7540"/>
    <w:bookmarkEnd w:id="2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3" w:name="_Toc377021023"/>
      <w:r>
        <w:rPr>
          <w:rFonts w:ascii="Garamond" w:hAnsi="Garamond"/>
        </w:rPr>
        <w:t>Çka është KPM?</w:t>
      </w:r>
      <w:bookmarkEnd w:id="3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Xhevat LATIFI – 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Granit MUSLIU – Nënkryetar,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Azra DESIC – Anëtare, e emëruar me 16 tetor 2020, me mandat tre (3)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lastRenderedPageBreak/>
        <w:t>Violeta HYSENI KELMENDI - Anëtare, e emëruar me 17 prill 2018 me mandat katër (4) vjeçar</w:t>
      </w:r>
      <w:r w:rsidR="00C33082">
        <w:rPr>
          <w:rFonts w:ascii="Garamond" w:hAnsi="Garamond"/>
        </w:rPr>
        <w:t>.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të Ligjit Nr. 04/L-44 për KPM-në, bën f</w:t>
      </w:r>
      <w:r w:rsidR="007670D2" w:rsidRPr="007670D2">
        <w:rPr>
          <w:sz w:val="24"/>
          <w:szCs w:val="24"/>
        </w:rPr>
        <w:t>tesë publike për nominime për tre (3) anëtarë të KPM-së:</w:t>
      </w:r>
      <w:r w:rsidR="007670D2">
        <w:rPr>
          <w:sz w:val="24"/>
          <w:szCs w:val="24"/>
        </w:rPr>
        <w:t xml:space="preserve"> </w:t>
      </w:r>
      <w:r w:rsidR="007670D2" w:rsidRPr="007670D2">
        <w:rPr>
          <w:sz w:val="24"/>
          <w:szCs w:val="24"/>
        </w:rPr>
        <w:t>dy (2) nga radhët e komunitetit shqiptar dhe një (1) nga radhët e komuniteteve jo sh</w:t>
      </w:r>
      <w:r w:rsidR="007670D2">
        <w:rPr>
          <w:sz w:val="24"/>
          <w:szCs w:val="24"/>
        </w:rPr>
        <w:t>umicë</w:t>
      </w:r>
      <w:r w:rsidR="007670D2" w:rsidRPr="007670D2">
        <w:rPr>
          <w:sz w:val="24"/>
          <w:szCs w:val="24"/>
        </w:rPr>
        <w:t xml:space="preserve"> në Republikën e Kosovës</w:t>
      </w:r>
      <w:r w:rsidRPr="007670D2">
        <w:rPr>
          <w:sz w:val="24"/>
          <w:szCs w:val="24"/>
        </w:rPr>
        <w:t>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>Si të nominohen anëtarët e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7670D2" w:rsidRDefault="007670D2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>të nevojshme për nominime për tre (3</w:t>
      </w:r>
      <w:r>
        <w:rPr>
          <w:rFonts w:ascii="Garamond" w:hAnsi="Garamond"/>
        </w:rPr>
        <w:t xml:space="preserve">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A3452D">
        <w:rPr>
          <w:rFonts w:ascii="Garamond" w:hAnsi="Garamond"/>
          <w:b/>
          <w:u w:val="single"/>
        </w:rPr>
        <w:t>29</w:t>
      </w:r>
      <w:r>
        <w:rPr>
          <w:rFonts w:ascii="Garamond" w:hAnsi="Garamond"/>
          <w:b/>
          <w:u w:val="single"/>
        </w:rPr>
        <w:t xml:space="preserve"> prill 2021 deri më 14 maj 2021, në orën 16:00.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 </w:t>
      </w:r>
      <w:hyperlink r:id="rId23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4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 xml:space="preserve">(Zyrtari për nominime), dhe përmes e-mailit në </w:t>
      </w:r>
      <w:hyperlink r:id="rId25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8F0698" w:rsidRDefault="008F0698" w:rsidP="00AF3E0F">
      <w:pPr>
        <w:pStyle w:val="Heading1"/>
        <w:jc w:val="center"/>
      </w:pPr>
    </w:p>
    <w:sectPr w:rsidR="008F0698" w:rsidSect="00555F04">
      <w:footerReference w:type="default" r:id="rId26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A0" w:rsidRDefault="009D43A0" w:rsidP="00F20749">
      <w:r>
        <w:separator/>
      </w:r>
    </w:p>
  </w:endnote>
  <w:endnote w:type="continuationSeparator" w:id="0">
    <w:p w:rsidR="009D43A0" w:rsidRDefault="009D43A0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9D43A0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5035BF">
      <w:rPr>
        <w:noProof/>
        <w:sz w:val="16"/>
        <w:szCs w:val="16"/>
      </w:rPr>
      <w:t>2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5035BF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9D43A0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A0" w:rsidRDefault="009D43A0" w:rsidP="00F20749">
      <w:r>
        <w:separator/>
      </w:r>
    </w:p>
  </w:footnote>
  <w:footnote w:type="continuationSeparator" w:id="0">
    <w:p w:rsidR="009D43A0" w:rsidRDefault="009D43A0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0"/>
    <w:rsid w:val="00080819"/>
    <w:rsid w:val="000E542B"/>
    <w:rsid w:val="000E7540"/>
    <w:rsid w:val="000F623A"/>
    <w:rsid w:val="000F639A"/>
    <w:rsid w:val="00176CA6"/>
    <w:rsid w:val="001D7194"/>
    <w:rsid w:val="002C0C7B"/>
    <w:rsid w:val="00304CDD"/>
    <w:rsid w:val="00321286"/>
    <w:rsid w:val="00341F25"/>
    <w:rsid w:val="00371D6A"/>
    <w:rsid w:val="004265A6"/>
    <w:rsid w:val="00456D76"/>
    <w:rsid w:val="00480895"/>
    <w:rsid w:val="004B07A3"/>
    <w:rsid w:val="004C44B3"/>
    <w:rsid w:val="004D1AD7"/>
    <w:rsid w:val="005035BF"/>
    <w:rsid w:val="00592C76"/>
    <w:rsid w:val="005B1D4F"/>
    <w:rsid w:val="005D4432"/>
    <w:rsid w:val="00610A1E"/>
    <w:rsid w:val="00617CAB"/>
    <w:rsid w:val="006C6F9E"/>
    <w:rsid w:val="006F4748"/>
    <w:rsid w:val="007670D2"/>
    <w:rsid w:val="007820A9"/>
    <w:rsid w:val="00787B22"/>
    <w:rsid w:val="007A7BBD"/>
    <w:rsid w:val="007C4D50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977A9"/>
    <w:rsid w:val="009A760E"/>
    <w:rsid w:val="009D43A0"/>
    <w:rsid w:val="00A1683C"/>
    <w:rsid w:val="00A3452D"/>
    <w:rsid w:val="00A74C76"/>
    <w:rsid w:val="00AD7F43"/>
    <w:rsid w:val="00AF3E0F"/>
    <w:rsid w:val="00B344B8"/>
    <w:rsid w:val="00B83879"/>
    <w:rsid w:val="00B97F4A"/>
    <w:rsid w:val="00C25FAC"/>
    <w:rsid w:val="00C33082"/>
    <w:rsid w:val="00C4651E"/>
    <w:rsid w:val="00CD1BD4"/>
    <w:rsid w:val="00CF29DE"/>
    <w:rsid w:val="00D07CE1"/>
    <w:rsid w:val="00D4378A"/>
    <w:rsid w:val="00D577F1"/>
    <w:rsid w:val="00D936C4"/>
    <w:rsid w:val="00DA4301"/>
    <w:rsid w:val="00DF6AA7"/>
    <w:rsid w:val="00E02E0E"/>
    <w:rsid w:val="00E2441D"/>
    <w:rsid w:val="00E53353"/>
    <w:rsid w:val="00E5378F"/>
    <w:rsid w:val="00EA1FFA"/>
    <w:rsid w:val="00EB6227"/>
    <w:rsid w:val="00F20749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B775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info@kpm-k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arsim.dreshaj@kpm-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20</cp:revision>
  <cp:lastPrinted>2020-10-05T11:54:00Z</cp:lastPrinted>
  <dcterms:created xsi:type="dcterms:W3CDTF">2020-03-30T09:49:00Z</dcterms:created>
  <dcterms:modified xsi:type="dcterms:W3CDTF">2021-04-28T11:43:00Z</dcterms:modified>
</cp:coreProperties>
</file>