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54691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val="en-US"/>
        </w:rPr>
        <w:drawing>
          <wp:inline distT="0" distB="0" distL="0" distR="0">
            <wp:extent cx="6606220" cy="1019175"/>
            <wp:effectExtent l="19050" t="0" r="4130" b="0"/>
            <wp:docPr id="4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2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7E3762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37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RAPORTIMI VJETOR </w:t>
      </w:r>
    </w:p>
    <w:p w:rsidR="00554691" w:rsidRPr="007E3762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7E3762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7E3762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37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I TË LICENCUARVE TË KPM-SË PËR VITIN 2016 </w:t>
      </w: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54691" w:rsidRPr="007E3762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E37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Afati për raportim: 31 mars 2017</w:t>
      </w: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Default="0055469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4691" w:rsidRPr="007E3762" w:rsidRDefault="00554691" w:rsidP="0055469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RAPORTIMI VJETOR </w:t>
      </w:r>
    </w:p>
    <w:p w:rsidR="00554691" w:rsidRPr="007E3762" w:rsidRDefault="00554691" w:rsidP="005546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691" w:rsidRDefault="00554691" w:rsidP="005546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62">
        <w:rPr>
          <w:rFonts w:ascii="Times New Roman" w:hAnsi="Times New Roman" w:cs="Times New Roman"/>
          <w:sz w:val="24"/>
          <w:szCs w:val="24"/>
        </w:rPr>
        <w:t>Ofrimi i raporteve vjetore nga ana e operatorëve të shpërndarjes, është obligim ligjorë që del nga Ligjit Nr.04/L-44  për Komisionin e Pavarur të Mediave, respektivisht Neni 28 i tij, si dhe  Nenit 19 të Rregullores për Shpërndarjen e Ofruesve të Shërbimeve Mediale Audio dhe Audiovizuele.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691" w:rsidRPr="007E3762" w:rsidRDefault="00554691" w:rsidP="005546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62">
        <w:rPr>
          <w:rFonts w:ascii="Times New Roman" w:hAnsi="Times New Roman" w:cs="Times New Roman"/>
          <w:sz w:val="24"/>
          <w:szCs w:val="24"/>
        </w:rPr>
        <w:t>Operatorët e shpërndarjes në raportet e tyre vjetore duhet të përfshijnë inf</w:t>
      </w:r>
      <w:r>
        <w:rPr>
          <w:rFonts w:ascii="Times New Roman" w:hAnsi="Times New Roman" w:cs="Times New Roman"/>
          <w:sz w:val="24"/>
          <w:szCs w:val="24"/>
        </w:rPr>
        <w:t>ormacione përkitazi me Ofruesit</w:t>
      </w:r>
      <w:r w:rsidRPr="007E3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E3762">
        <w:rPr>
          <w:rFonts w:ascii="Times New Roman" w:hAnsi="Times New Roman" w:cs="Times New Roman"/>
          <w:sz w:val="24"/>
          <w:szCs w:val="24"/>
        </w:rPr>
        <w:t xml:space="preserve"> Shërbimeve Mediale Audio dhe Audiovizuele</w:t>
      </w:r>
      <w:r>
        <w:rPr>
          <w:rFonts w:ascii="Times New Roman" w:hAnsi="Times New Roman" w:cs="Times New Roman"/>
          <w:sz w:val="24"/>
          <w:szCs w:val="24"/>
        </w:rPr>
        <w:t xml:space="preserve"> që ritransmetojnë</w:t>
      </w:r>
      <w:r w:rsidRPr="007E3762">
        <w:rPr>
          <w:rFonts w:ascii="Times New Roman" w:hAnsi="Times New Roman" w:cs="Times New Roman"/>
          <w:sz w:val="24"/>
          <w:szCs w:val="24"/>
        </w:rPr>
        <w:t>, dhe veprimet</w:t>
      </w:r>
      <w:r>
        <w:rPr>
          <w:rFonts w:ascii="Times New Roman" w:hAnsi="Times New Roman" w:cs="Times New Roman"/>
          <w:sz w:val="24"/>
          <w:szCs w:val="24"/>
        </w:rPr>
        <w:t xml:space="preserve"> tjera</w:t>
      </w:r>
      <w:r w:rsidRPr="007E3762">
        <w:rPr>
          <w:rFonts w:ascii="Times New Roman" w:hAnsi="Times New Roman" w:cs="Times New Roman"/>
          <w:sz w:val="24"/>
          <w:szCs w:val="24"/>
        </w:rPr>
        <w:t xml:space="preserve"> në përputhje me kushtet e licencës  së bashku me një raport financiar të detajuar, si dhe informacione tjera.</w:t>
      </w:r>
    </w:p>
    <w:p w:rsidR="00554691" w:rsidRPr="007E3762" w:rsidRDefault="00554691" w:rsidP="005546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691" w:rsidRPr="007E3762" w:rsidRDefault="00554691" w:rsidP="005546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62">
        <w:rPr>
          <w:rFonts w:ascii="Times New Roman" w:hAnsi="Times New Roman" w:cs="Times New Roman"/>
          <w:sz w:val="24"/>
          <w:szCs w:val="24"/>
        </w:rPr>
        <w:t>Ofrimi i të dhënave të kërkuara në këtë raport vjetor kryesisht ka të bëj me informacione për të hyrat, shpenzimet, buxhetin e përgjithshëm dhe numrin e stafit</w:t>
      </w:r>
      <w:r>
        <w:rPr>
          <w:rFonts w:ascii="Times New Roman" w:hAnsi="Times New Roman" w:cs="Times New Roman"/>
          <w:sz w:val="24"/>
          <w:szCs w:val="24"/>
        </w:rPr>
        <w:t>, zhvillimin</w:t>
      </w:r>
      <w:r w:rsidRPr="007E3762">
        <w:rPr>
          <w:rFonts w:ascii="Times New Roman" w:hAnsi="Times New Roman" w:cs="Times New Roman"/>
          <w:sz w:val="24"/>
          <w:szCs w:val="24"/>
        </w:rPr>
        <w:t xml:space="preserve"> dhe avancimin profesional të tij. Gjithashtu ai kërkon informata në lidhje me shtrirjen e rrjetit për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E3762">
        <w:rPr>
          <w:rFonts w:ascii="Times New Roman" w:hAnsi="Times New Roman" w:cs="Times New Roman"/>
          <w:sz w:val="24"/>
          <w:szCs w:val="24"/>
        </w:rPr>
        <w:t>omunat apo zonat kadastrale, një kopje të e draft kontratës me përdoruesin, ofertat dhe çmimoren e pakove</w:t>
      </w:r>
      <w:r>
        <w:rPr>
          <w:rFonts w:ascii="Times New Roman" w:hAnsi="Times New Roman" w:cs="Times New Roman"/>
          <w:sz w:val="24"/>
          <w:szCs w:val="24"/>
        </w:rPr>
        <w:t xml:space="preserve"> programore</w:t>
      </w:r>
      <w:r w:rsidRPr="007E3762">
        <w:rPr>
          <w:rFonts w:ascii="Times New Roman" w:hAnsi="Times New Roman" w:cs="Times New Roman"/>
          <w:sz w:val="24"/>
          <w:szCs w:val="24"/>
        </w:rPr>
        <w:t xml:space="preserve">, numrin  e përdoruesve, si dhe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E3762">
        <w:rPr>
          <w:rFonts w:ascii="Times New Roman" w:hAnsi="Times New Roman" w:cs="Times New Roman"/>
          <w:sz w:val="24"/>
          <w:szCs w:val="24"/>
        </w:rPr>
        <w:t>kti</w:t>
      </w:r>
      <w:r w:rsidR="00C842AE">
        <w:rPr>
          <w:rFonts w:ascii="Times New Roman" w:hAnsi="Times New Roman" w:cs="Times New Roman"/>
          <w:sz w:val="24"/>
          <w:szCs w:val="24"/>
        </w:rPr>
        <w:t>n e</w:t>
      </w:r>
      <w:r w:rsidRPr="007E3762">
        <w:rPr>
          <w:rFonts w:ascii="Times New Roman" w:hAnsi="Times New Roman" w:cs="Times New Roman"/>
          <w:sz w:val="24"/>
          <w:szCs w:val="24"/>
        </w:rPr>
        <w:t xml:space="preserve"> themelimit dhe </w:t>
      </w:r>
      <w:r>
        <w:rPr>
          <w:rFonts w:ascii="Times New Roman" w:hAnsi="Times New Roman" w:cs="Times New Roman"/>
          <w:sz w:val="24"/>
          <w:szCs w:val="24"/>
        </w:rPr>
        <w:t>përbërjen</w:t>
      </w:r>
      <w:r w:rsidRPr="007E3762">
        <w:rPr>
          <w:rFonts w:ascii="Times New Roman" w:hAnsi="Times New Roman" w:cs="Times New Roman"/>
          <w:sz w:val="24"/>
          <w:szCs w:val="24"/>
        </w:rPr>
        <w:t xml:space="preserve"> e këshillit programor.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762">
        <w:rPr>
          <w:rFonts w:ascii="Times New Roman" w:hAnsi="Times New Roman" w:cs="Times New Roman"/>
          <w:sz w:val="24"/>
          <w:szCs w:val="24"/>
        </w:rPr>
        <w:t>Ato konsiderohen indikatorë  të rëndësishëm të cilët KPM-së i ofrojnë pasqyrë më të qartë për qëndrueshmërinë financiare dhe zhvillimit të përgjithshëm apo ngecjes së spektrit medial audio dhe audiovizuel</w:t>
      </w:r>
      <w:r>
        <w:rPr>
          <w:rFonts w:ascii="Times New Roman" w:hAnsi="Times New Roman" w:cs="Times New Roman"/>
          <w:sz w:val="24"/>
          <w:szCs w:val="24"/>
        </w:rPr>
        <w:t xml:space="preserve"> në përgjithësi</w:t>
      </w:r>
      <w:r w:rsidRPr="007E3762">
        <w:rPr>
          <w:rFonts w:ascii="Times New Roman" w:hAnsi="Times New Roman" w:cs="Times New Roman"/>
          <w:sz w:val="24"/>
          <w:szCs w:val="24"/>
        </w:rPr>
        <w:t xml:space="preserve">. Këto të  dhëna në këtë raport vjetor do të ndihmojnë KPM-në në hartimin e politikave të transmetimit përkitazi me zhvillimin tregut medial audiovizuel në të ardhmen </w:t>
      </w:r>
      <w:r>
        <w:rPr>
          <w:rFonts w:ascii="Times New Roman" w:hAnsi="Times New Roman" w:cs="Times New Roman"/>
          <w:sz w:val="24"/>
          <w:szCs w:val="24"/>
        </w:rPr>
        <w:t>krahas</w:t>
      </w:r>
      <w:r w:rsidRPr="007E3762">
        <w:rPr>
          <w:rFonts w:ascii="Times New Roman" w:hAnsi="Times New Roman" w:cs="Times New Roman"/>
          <w:sz w:val="24"/>
          <w:szCs w:val="24"/>
        </w:rPr>
        <w:t xml:space="preserve"> me përshtatjen dhe zhvillimin e legjislacionit të saj.</w:t>
      </w:r>
    </w:p>
    <w:p w:rsidR="00554691" w:rsidRPr="007E3762" w:rsidRDefault="00554691" w:rsidP="005546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62">
        <w:rPr>
          <w:rFonts w:ascii="Times New Roman" w:hAnsi="Times New Roman" w:cs="Times New Roman"/>
          <w:sz w:val="24"/>
          <w:szCs w:val="24"/>
        </w:rPr>
        <w:t xml:space="preserve">Raportet vjetore me të dhëna të kërkuara duhet të dorëzohen në Zyrën e KPM-së jo më vonë se deri më 31 mars 2017. </w:t>
      </w:r>
    </w:p>
    <w:p w:rsidR="00554691" w:rsidRDefault="00554691" w:rsidP="005546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62">
        <w:rPr>
          <w:rFonts w:ascii="Times New Roman" w:hAnsi="Times New Roman" w:cs="Times New Roman"/>
          <w:sz w:val="24"/>
          <w:szCs w:val="24"/>
        </w:rPr>
        <w:t xml:space="preserve">Në rastet kur KPM konsideron se informacioni i paraqitur në raport vjetor nuk është i plotë, ju njoftojmë se KPM mund të kërkojë informacione shtesë për të kompletuar të dhënat dhe për të vërtetuar saktësinë e informacionit të kërkuar.  </w:t>
      </w:r>
    </w:p>
    <w:p w:rsidR="00554691" w:rsidRDefault="00554691">
      <w:r w:rsidRPr="007E3762">
        <w:rPr>
          <w:rFonts w:ascii="Times New Roman" w:hAnsi="Times New Roman" w:cs="Times New Roman"/>
          <w:sz w:val="24"/>
          <w:szCs w:val="24"/>
        </w:rPr>
        <w:t>KPM-ja nuk do t’ia publikojë asnjë të licencuari  informacionin e ndjeshëm komercial dhe financiar që paraqitet në këtë  raport vjetor, përveç në rastet kur me ligj kërkohet të veprohet ndryshe.</w:t>
      </w:r>
      <w:r>
        <w:br w:type="page"/>
      </w:r>
    </w:p>
    <w:p w:rsidR="00C14570" w:rsidRPr="007E3762" w:rsidRDefault="00C1457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6"/>
        <w:gridCol w:w="7360"/>
      </w:tblGrid>
      <w:tr w:rsidR="00554691" w:rsidRPr="007E3762" w:rsidTr="00554691">
        <w:trPr>
          <w:trHeight w:val="77"/>
        </w:trPr>
        <w:tc>
          <w:tcPr>
            <w:tcW w:w="5000" w:type="pct"/>
            <w:gridSpan w:val="2"/>
            <w:shd w:val="clear" w:color="000000" w:fill="FFFFFF"/>
            <w:noWrap/>
            <w:vAlign w:val="bottom"/>
            <w:hideMark/>
          </w:tcPr>
          <w:p w:rsidR="00554691" w:rsidRPr="00ED533F" w:rsidRDefault="00554691" w:rsidP="00ED5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Të dhënat për të licencuarin: </w:t>
            </w:r>
          </w:p>
        </w:tc>
      </w:tr>
      <w:tr w:rsidR="00554691" w:rsidRPr="007E3762" w:rsidTr="00554691">
        <w:trPr>
          <w:trHeight w:val="77"/>
        </w:trPr>
        <w:tc>
          <w:tcPr>
            <w:tcW w:w="2207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licencuari:</w:t>
            </w:r>
          </w:p>
        </w:tc>
        <w:tc>
          <w:tcPr>
            <w:tcW w:w="2793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554691">
        <w:trPr>
          <w:trHeight w:val="305"/>
        </w:trPr>
        <w:tc>
          <w:tcPr>
            <w:tcW w:w="2207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 e shpërndarjes:</w:t>
            </w:r>
          </w:p>
        </w:tc>
        <w:tc>
          <w:tcPr>
            <w:tcW w:w="2793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554691">
        <w:trPr>
          <w:trHeight w:val="305"/>
        </w:trPr>
        <w:tc>
          <w:tcPr>
            <w:tcW w:w="2207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Pronar:</w:t>
            </w:r>
          </w:p>
        </w:tc>
        <w:tc>
          <w:tcPr>
            <w:tcW w:w="2793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554691">
        <w:trPr>
          <w:trHeight w:val="255"/>
        </w:trPr>
        <w:tc>
          <w:tcPr>
            <w:tcW w:w="2207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Drejtor:</w:t>
            </w:r>
          </w:p>
        </w:tc>
        <w:tc>
          <w:tcPr>
            <w:tcW w:w="2793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554691">
        <w:trPr>
          <w:trHeight w:val="255"/>
        </w:trPr>
        <w:tc>
          <w:tcPr>
            <w:tcW w:w="2207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2793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554691">
        <w:trPr>
          <w:trHeight w:val="255"/>
        </w:trPr>
        <w:tc>
          <w:tcPr>
            <w:tcW w:w="2207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Komuna:</w:t>
            </w:r>
          </w:p>
        </w:tc>
        <w:tc>
          <w:tcPr>
            <w:tcW w:w="2793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554691">
        <w:trPr>
          <w:trHeight w:val="255"/>
        </w:trPr>
        <w:tc>
          <w:tcPr>
            <w:tcW w:w="2207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Telefoni dhe Fax: </w:t>
            </w:r>
          </w:p>
        </w:tc>
        <w:tc>
          <w:tcPr>
            <w:tcW w:w="2793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ED533F">
        <w:trPr>
          <w:trHeight w:val="255"/>
        </w:trPr>
        <w:tc>
          <w:tcPr>
            <w:tcW w:w="220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79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ED533F">
        <w:trPr>
          <w:trHeight w:val="255"/>
        </w:trPr>
        <w:tc>
          <w:tcPr>
            <w:tcW w:w="220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Ueb-faqja </w:t>
            </w:r>
          </w:p>
        </w:tc>
        <w:tc>
          <w:tcPr>
            <w:tcW w:w="279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ED533F">
        <w:trPr>
          <w:trHeight w:val="315"/>
        </w:trPr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Personeli</w:t>
            </w:r>
          </w:p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ED533F">
        <w:trPr>
          <w:trHeight w:val="255"/>
        </w:trPr>
        <w:tc>
          <w:tcPr>
            <w:tcW w:w="22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  i përgjithshëm i personelit:</w:t>
            </w: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ED533F">
        <w:trPr>
          <w:trHeight w:val="255"/>
        </w:trPr>
        <w:tc>
          <w:tcPr>
            <w:tcW w:w="2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ED533F">
        <w:trPr>
          <w:trHeight w:val="255"/>
        </w:trPr>
        <w:tc>
          <w:tcPr>
            <w:tcW w:w="2207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Staf  profesional :</w:t>
            </w:r>
          </w:p>
        </w:tc>
        <w:tc>
          <w:tcPr>
            <w:tcW w:w="279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554691">
        <w:trPr>
          <w:trHeight w:val="255"/>
        </w:trPr>
        <w:tc>
          <w:tcPr>
            <w:tcW w:w="2207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 Përmbajtje Programore:</w:t>
            </w:r>
          </w:p>
        </w:tc>
        <w:tc>
          <w:tcPr>
            <w:tcW w:w="2793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554691">
        <w:trPr>
          <w:trHeight w:val="255"/>
        </w:trPr>
        <w:tc>
          <w:tcPr>
            <w:tcW w:w="2207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 Marketing:</w:t>
            </w:r>
          </w:p>
        </w:tc>
        <w:tc>
          <w:tcPr>
            <w:tcW w:w="2793" w:type="pct"/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ED533F">
        <w:trPr>
          <w:trHeight w:val="255"/>
        </w:trPr>
        <w:tc>
          <w:tcPr>
            <w:tcW w:w="220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Administratë/Tjerë:</w:t>
            </w:r>
          </w:p>
        </w:tc>
        <w:tc>
          <w:tcPr>
            <w:tcW w:w="279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ED533F">
        <w:trPr>
          <w:trHeight w:val="255"/>
        </w:trPr>
        <w:tc>
          <w:tcPr>
            <w:tcW w:w="2207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 çështje ligjore:</w:t>
            </w:r>
          </w:p>
        </w:tc>
        <w:tc>
          <w:tcPr>
            <w:tcW w:w="279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ED533F">
        <w:trPr>
          <w:trHeight w:val="1106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554691" w:rsidRPr="007E3762" w:rsidTr="00ED533F">
        <w:trPr>
          <w:trHeight w:val="300"/>
        </w:trPr>
        <w:tc>
          <w:tcPr>
            <w:tcW w:w="5000" w:type="pct"/>
            <w:gridSpan w:val="2"/>
            <w:tcBorders>
              <w:top w:val="nil"/>
            </w:tcBorders>
            <w:shd w:val="clear" w:color="000000" w:fill="FF9900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Të bashkëngjiten: </w:t>
            </w:r>
          </w:p>
        </w:tc>
      </w:tr>
      <w:tr w:rsidR="00554691" w:rsidRPr="007E3762" w:rsidTr="00554691">
        <w:trPr>
          <w:trHeight w:val="865"/>
        </w:trPr>
        <w:tc>
          <w:tcPr>
            <w:tcW w:w="5000" w:type="pct"/>
            <w:gridSpan w:val="2"/>
            <w:shd w:val="clear" w:color="000000" w:fill="FF9900"/>
            <w:noWrap/>
            <w:vAlign w:val="bottom"/>
            <w:hideMark/>
          </w:tcPr>
          <w:p w:rsidR="00554691" w:rsidRPr="007E3762" w:rsidRDefault="00554691" w:rsidP="00554691">
            <w:pPr>
              <w:pStyle w:val="ListParagraph"/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54691" w:rsidRPr="00ED533F" w:rsidRDefault="00554691" w:rsidP="005546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Raporti vjetor për shtrirje të rrjetit (</w:t>
            </w:r>
            <w:r w:rsidRPr="00ED533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Komunat/Zonat kadastrale),</w:t>
            </w:r>
            <w:r w:rsidRPr="00ED5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shprehur në formë liste.</w:t>
            </w:r>
          </w:p>
          <w:p w:rsidR="00554691" w:rsidRPr="00ED533F" w:rsidRDefault="00554691" w:rsidP="005546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Kopja e Draft Kontratës me përdoruesin.</w:t>
            </w:r>
          </w:p>
          <w:p w:rsidR="00554691" w:rsidRPr="00ED533F" w:rsidRDefault="00554691" w:rsidP="005546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Ofertat/</w:t>
            </w:r>
            <w:r w:rsidRPr="00ED53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Ç</w:t>
            </w:r>
            <w:r w:rsidRPr="00ED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mimorja e pakove programore për </w:t>
            </w:r>
            <w:r w:rsidRPr="00ED53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përdoruesin</w:t>
            </w:r>
            <w:r w:rsidRPr="00ED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554691" w:rsidRPr="007E3762" w:rsidRDefault="00554691" w:rsidP="005546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163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3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Akti i themelimit dhe përbërja e këshillit programor.</w:t>
            </w:r>
          </w:p>
        </w:tc>
      </w:tr>
    </w:tbl>
    <w:p w:rsidR="00554691" w:rsidRDefault="00554691">
      <w:r>
        <w:br w:type="page"/>
      </w:r>
    </w:p>
    <w:tbl>
      <w:tblPr>
        <w:tblW w:w="5000" w:type="pct"/>
        <w:shd w:val="clear" w:color="auto" w:fill="F2F2F2" w:themeFill="background1" w:themeFillShade="F2"/>
        <w:tblLook w:val="04A0"/>
      </w:tblPr>
      <w:tblGrid>
        <w:gridCol w:w="13176"/>
      </w:tblGrid>
      <w:tr w:rsidR="00554691" w:rsidRPr="007E3762" w:rsidTr="00CB3D21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554691" w:rsidRPr="00CB3D21" w:rsidTr="00CB3D21">
        <w:trPr>
          <w:trHeight w:val="260"/>
        </w:trPr>
        <w:tc>
          <w:tcPr>
            <w:tcW w:w="5000" w:type="pct"/>
            <w:vMerge w:val="restart"/>
            <w:shd w:val="clear" w:color="auto" w:fill="F2F2F2" w:themeFill="background1" w:themeFillShade="F2"/>
            <w:noWrap/>
            <w:vAlign w:val="bottom"/>
            <w:hideMark/>
          </w:tcPr>
          <w:p w:rsidR="00554691" w:rsidRDefault="00554691" w:rsidP="00554691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3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GJENDJA E PËRGJITHSHME DHE ZHVILLIMI I OPERATORIT TË SHPËRNDARJES</w:t>
            </w:r>
            <w:r w:rsidRPr="00CB3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</w:t>
            </w:r>
            <w:r w:rsidRPr="00CB3D2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PROGRAMI DHE ASPEKTI FINANCIAR</w:t>
            </w:r>
            <w:r w:rsidRPr="00CB3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):</w:t>
            </w:r>
          </w:p>
          <w:p w:rsidR="00CB3D21" w:rsidRPr="00CB3D21" w:rsidRDefault="00CB3D21" w:rsidP="00554691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54691" w:rsidRPr="00CB3D21" w:rsidRDefault="00554691" w:rsidP="00554691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4691" w:rsidRPr="00CB3D21" w:rsidRDefault="00554691" w:rsidP="00CB3D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Ndryshim i listës së kanaleve</w:t>
            </w:r>
            <w:r w:rsidR="00CB3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CB3D21" w:rsidRPr="00CB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CB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uke shënuar nëse ka pasur rritje apo zvogëlim të numrit të kanaleve gjatë vitit 2016, si dhe pajtueshmëria me listën e kanaleve që i përkasin provizionit  (Bartja e Obligueshme</w:t>
            </w:r>
            <w:r w:rsidRPr="00CB3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):______________________________________________________________________________________________</w:t>
            </w:r>
            <w:r w:rsidRPr="00CB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B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</w:p>
          <w:p w:rsidR="00554691" w:rsidRPr="00CB3D21" w:rsidRDefault="00554691" w:rsidP="00554691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4691" w:rsidRPr="00CB3D21" w:rsidRDefault="00554691" w:rsidP="005546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3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Zhvillime në aspektin financiar:</w:t>
            </w:r>
          </w:p>
          <w:p w:rsidR="00554691" w:rsidRPr="00CB3D21" w:rsidRDefault="00554691" w:rsidP="0055469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Duke bërë edhe një krahasim me vitin paraprak na sqaroni se cila ka qenë gjendja në aspektin e qëndrueshmërisë financiare. Identifikoni faktorët që kanë ndikuar, sipas vlerësimit tuaj, në përmirësim (ose ngecje) të gjenerimit të të hyrave të përgjithshme.</w:t>
            </w:r>
          </w:p>
          <w:p w:rsidR="00554691" w:rsidRPr="00CB3D21" w:rsidRDefault="00554691" w:rsidP="0055469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54691" w:rsidRPr="00CB3D21" w:rsidRDefault="00554691" w:rsidP="00554691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4691" w:rsidRPr="00CB3D21" w:rsidRDefault="00554691" w:rsidP="00CB3D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Zhvillime në ngritjen e kapaciteteve njerëzore për çështje ligjore, teknike dhe programore, </w:t>
            </w:r>
            <w:r w:rsidRPr="00CB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(duke specifikuar emrat e tyre dhe arsyen pse kanë ndodhur/nuk kanë ndodhur)</w:t>
            </w:r>
            <w:r w:rsidR="00DD3393" w:rsidRPr="00CB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B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</w:t>
            </w:r>
          </w:p>
          <w:p w:rsidR="00CB3D21" w:rsidRPr="00CB3D21" w:rsidRDefault="00CB3D21" w:rsidP="00CB3D21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D3393" w:rsidRPr="00CB3D21" w:rsidRDefault="00DD3393" w:rsidP="00CB3D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3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Zhvillime në ngritjen e kapaciteteve teknike-infrastrukturore</w:t>
            </w:r>
            <w:r w:rsidRPr="00CB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(së bashku me arsyen pse kanë ndodhur/nuk kanë ndodhur).</w:t>
            </w:r>
          </w:p>
          <w:p w:rsidR="00DD3393" w:rsidRPr="00CB3D21" w:rsidRDefault="00DD3393" w:rsidP="00CB3D2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  <w:r w:rsidR="00CB3D21" w:rsidRPr="00CB3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</w:t>
            </w:r>
            <w:r w:rsidR="00CB3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</w:t>
            </w:r>
          </w:p>
          <w:p w:rsidR="00CB3D21" w:rsidRPr="00CB3D21" w:rsidRDefault="00CB3D21" w:rsidP="00CB3D21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4691" w:rsidRPr="00CB3D21" w:rsidRDefault="00DD3393" w:rsidP="00CB3D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Numri i përdoruesve sipas vendbanimeve/komunave, si dhe totalin  e tyre: </w:t>
            </w:r>
            <w:r w:rsidR="00CB3D21" w:rsidRPr="00CB3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B3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</w:t>
            </w:r>
          </w:p>
          <w:p w:rsidR="00CB3D21" w:rsidRDefault="00CB3D21" w:rsidP="00CB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B3D21" w:rsidRPr="00CB3D21" w:rsidRDefault="00CB3D21" w:rsidP="00CB3D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3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Vështirësitë e operatorit të shpërndarjes gjatë realizimit të veprimtarisë së tij në ofrimin e shërbimeve mediale audio-vizuele: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3D21" w:rsidRPr="00CB3D21" w:rsidRDefault="00CB3D21" w:rsidP="00CB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B3D21" w:rsidRPr="00CB3D21" w:rsidRDefault="00CB3D21" w:rsidP="00CB3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noWrap/>
            <w:vAlign w:val="bottom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315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55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1106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300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865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CB3D21">
        <w:trPr>
          <w:trHeight w:val="230"/>
        </w:trPr>
        <w:tc>
          <w:tcPr>
            <w:tcW w:w="5000" w:type="pct"/>
            <w:vMerge/>
            <w:shd w:val="clear" w:color="auto" w:fill="F2F2F2" w:themeFill="background1" w:themeFillShade="F2"/>
            <w:vAlign w:val="center"/>
            <w:hideMark/>
          </w:tcPr>
          <w:p w:rsidR="00554691" w:rsidRPr="007E3762" w:rsidRDefault="00554691" w:rsidP="00554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54691" w:rsidRDefault="00554691"/>
    <w:p w:rsidR="00554691" w:rsidRDefault="00554691">
      <w:r>
        <w:br w:type="page"/>
      </w:r>
    </w:p>
    <w:tbl>
      <w:tblPr>
        <w:tblW w:w="13668" w:type="dxa"/>
        <w:tblInd w:w="244" w:type="dxa"/>
        <w:tblLayout w:type="fixed"/>
        <w:tblLook w:val="04A0"/>
      </w:tblPr>
      <w:tblGrid>
        <w:gridCol w:w="806"/>
        <w:gridCol w:w="361"/>
        <w:gridCol w:w="782"/>
        <w:gridCol w:w="534"/>
        <w:gridCol w:w="263"/>
        <w:gridCol w:w="1632"/>
        <w:gridCol w:w="236"/>
        <w:gridCol w:w="942"/>
        <w:gridCol w:w="460"/>
        <w:gridCol w:w="325"/>
        <w:gridCol w:w="750"/>
        <w:gridCol w:w="557"/>
        <w:gridCol w:w="402"/>
        <w:gridCol w:w="1831"/>
        <w:gridCol w:w="124"/>
        <w:gridCol w:w="869"/>
        <w:gridCol w:w="460"/>
        <w:gridCol w:w="942"/>
        <w:gridCol w:w="1392"/>
      </w:tblGrid>
      <w:tr w:rsidR="00C41F67" w:rsidRPr="007E3762" w:rsidTr="00CB3D21">
        <w:trPr>
          <w:trHeight w:val="300"/>
        </w:trPr>
        <w:tc>
          <w:tcPr>
            <w:tcW w:w="136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317B" w:rsidRPr="007E3762" w:rsidRDefault="00CC317B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TË DHËNAT </w:t>
            </w:r>
            <w:r w:rsidR="00B84718"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FINANCIARE PËR VITIN FISKAL 201</w:t>
            </w:r>
            <w:r w:rsidR="00C14570"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C41F67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554691">
        <w:trPr>
          <w:trHeight w:val="903"/>
        </w:trPr>
        <w:tc>
          <w:tcPr>
            <w:tcW w:w="1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82" w:rsidRPr="007E3762" w:rsidRDefault="00C14570" w:rsidP="00C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Të hyrat:</w:t>
            </w:r>
          </w:p>
          <w:p w:rsidR="00F5701B" w:rsidRPr="007E3762" w:rsidRDefault="00F5701B" w:rsidP="00C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701B" w:rsidRPr="007E3762" w:rsidRDefault="00F5701B" w:rsidP="00C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5701B" w:rsidRPr="007E3762" w:rsidRDefault="00F5701B" w:rsidP="00C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66682" w:rsidRPr="007E3762" w:rsidRDefault="00466682" w:rsidP="00C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682" w:rsidRPr="007E3762" w:rsidRDefault="00466682" w:rsidP="00C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0463EC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ë</w:t>
            </w: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hyrat e p</w:t>
            </w:r>
            <w:r w:rsidR="000463EC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ë</w:t>
            </w:r>
            <w:r w:rsidR="00B84718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rgjithshme (201</w:t>
            </w:r>
            <w:r w:rsidR="00C14570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</w:t>
            </w:r>
          </w:p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______________ Euro</w:t>
            </w:r>
          </w:p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554691">
        <w:trPr>
          <w:trHeight w:val="1185"/>
        </w:trPr>
        <w:tc>
          <w:tcPr>
            <w:tcW w:w="19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682" w:rsidRPr="007E3762" w:rsidRDefault="00466682" w:rsidP="00C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B84718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Mjetet e bartura nga viti 201</w:t>
            </w:r>
            <w:r w:rsidR="00C14570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66682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6682" w:rsidRPr="007E3762" w:rsidRDefault="00466682" w:rsidP="00C1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_______________Euro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682" w:rsidRPr="007E3762" w:rsidRDefault="00466682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691" w:rsidRPr="007E3762" w:rsidTr="00554691">
        <w:trPr>
          <w:trHeight w:val="923"/>
        </w:trPr>
        <w:tc>
          <w:tcPr>
            <w:tcW w:w="1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70" w:rsidRPr="007E3762" w:rsidRDefault="00C14570" w:rsidP="00C14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Buxheti i përgjithshëm për vitin 2016</w:t>
            </w:r>
            <w:r w:rsidR="00CC317B" w:rsidRPr="007E3762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570" w:rsidRPr="007E3762" w:rsidRDefault="00C14570" w:rsidP="00C14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________________Euro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1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4570" w:rsidRPr="007E3762" w:rsidTr="00554691">
        <w:trPr>
          <w:trHeight w:val="255"/>
        </w:trPr>
        <w:tc>
          <w:tcPr>
            <w:tcW w:w="4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AE6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Të hyrat gjatë vitit fiskal 2016 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466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Sh</w:t>
            </w:r>
            <w:r w:rsidR="00CC317B"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penzimet gjatë vitit fiskal 2016</w:t>
            </w: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3762" w:rsidRPr="007E3762" w:rsidTr="00554691">
        <w:trPr>
          <w:trHeight w:val="255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554691">
        <w:trPr>
          <w:trHeight w:val="255"/>
        </w:trPr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CC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Nga </w:t>
            </w:r>
            <w:r w:rsidR="00CC317B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përdoruesit: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Pagat</w:t>
            </w:r>
            <w:r w:rsidR="00CC317B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554691">
        <w:trPr>
          <w:trHeight w:val="255"/>
        </w:trPr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554691">
        <w:trPr>
          <w:trHeight w:val="255"/>
        </w:trPr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Kontrata me subjekte tjera</w:t>
            </w:r>
            <w:r w:rsidR="00CC317B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691" w:rsidRPr="007E3762" w:rsidTr="00554691">
        <w:trPr>
          <w:trHeight w:val="255"/>
        </w:trPr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A1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Blerje kanalesh: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70" w:rsidRPr="007E3762" w:rsidTr="00554691">
        <w:trPr>
          <w:trHeight w:val="255"/>
        </w:trPr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C317B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Të t</w:t>
            </w:r>
            <w:r w:rsidR="00C14570"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jera: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 lutem specifikoni: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Mallra dhe shërbime / Shpenzime Tjera: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3762">
              <w:rPr>
                <w:rFonts w:ascii="Times New Roman" w:eastAsia="Times New Roman" w:hAnsi="Times New Roman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19050</wp:posOffset>
                  </wp:positionV>
                  <wp:extent cx="133350" cy="142875"/>
                  <wp:effectExtent l="0" t="0" r="635" b="0"/>
                  <wp:wrapNone/>
                  <wp:docPr id="6" name="AutoShap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381875" y="2343150"/>
                            <a:ext cx="114300" cy="85725"/>
                            <a:chOff x="7381875" y="2343150"/>
                            <a:chExt cx="114300" cy="85725"/>
                          </a:xfrm>
                        </a:grpSpPr>
                        <a:sp>
                          <a:nvSpPr>
                            <a:cNvPr id="1033" name="AutoShap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962775" y="2343150"/>
                              <a:ext cx="104775" cy="85725"/>
                            </a:xfrm>
                            <a:prstGeom prst="rightArrow">
                              <a:avLst>
                                <a:gd name="adj1" fmla="val 50000"/>
                                <a:gd name="adj2" fmla="val 3055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2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1"/>
            </w:tblGrid>
            <w:tr w:rsidR="00C14570" w:rsidRPr="007E3762" w:rsidTr="007E3762">
              <w:trPr>
                <w:trHeight w:val="255"/>
                <w:tblCellSpacing w:w="0" w:type="dxa"/>
              </w:trPr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14570" w:rsidRPr="007E3762" w:rsidRDefault="00C14570" w:rsidP="009D7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E376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 lutem specifikoni</w:t>
            </w:r>
          </w:p>
        </w:tc>
      </w:tr>
      <w:tr w:rsidR="00C14570" w:rsidRPr="007E3762" w:rsidTr="00554691">
        <w:trPr>
          <w:trHeight w:val="255"/>
        </w:trPr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114300" cy="142875"/>
                  <wp:effectExtent l="0" t="0" r="0" b="0"/>
                  <wp:wrapNone/>
                  <wp:docPr id="7" name="AutoShap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05150" y="2505075"/>
                            <a:ext cx="85725" cy="85725"/>
                            <a:chOff x="3105150" y="2505075"/>
                            <a:chExt cx="85725" cy="85725"/>
                          </a:xfrm>
                        </a:grpSpPr>
                        <a:sp>
                          <a:nvSpPr>
                            <a:cNvPr id="1027" name="AutoShap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933700" y="2505075"/>
                              <a:ext cx="85725" cy="85725"/>
                            </a:xfrm>
                            <a:prstGeom prst="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4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438" w:rsidRPr="007E3762" w:rsidTr="00554691">
        <w:trPr>
          <w:trHeight w:val="179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6438" w:rsidRPr="007E3762" w:rsidTr="00554691">
        <w:trPr>
          <w:trHeight w:val="353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3762" w:rsidRPr="007E3762" w:rsidTr="00CB3D21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70" w:rsidRPr="007E3762" w:rsidTr="00554691">
        <w:trPr>
          <w:trHeight w:val="255"/>
        </w:trPr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Donacione / Të hyra tjera: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114300" cy="142875"/>
                  <wp:effectExtent l="0" t="0" r="0" b="0"/>
                  <wp:wrapNone/>
                  <wp:docPr id="11" name="AutoShap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05150" y="4124325"/>
                            <a:ext cx="85725" cy="85725"/>
                            <a:chOff x="3105150" y="4124325"/>
                            <a:chExt cx="85725" cy="85725"/>
                          </a:xfrm>
                        </a:grpSpPr>
                        <a:sp>
                          <a:nvSpPr>
                            <a:cNvPr id="1028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933700" y="4124325"/>
                              <a:ext cx="85725" cy="85725"/>
                            </a:xfrm>
                            <a:prstGeom prst="rightArrow">
                              <a:avLst>
                                <a:gd name="adj1" fmla="val 50000"/>
                                <a:gd name="adj2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 lutem specifikoni: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70" w:rsidRPr="007E3762" w:rsidTr="00CB3D21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70" w:rsidRPr="007E3762" w:rsidTr="00CB3D21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70" w:rsidRPr="007E3762" w:rsidTr="00CB3D21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70" w:rsidRPr="007E3762" w:rsidTr="00CB3D21">
        <w:trPr>
          <w:trHeight w:val="2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70" w:rsidRPr="007E3762" w:rsidTr="00CB3D21">
        <w:trPr>
          <w:trHeight w:val="64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70" w:rsidRPr="007E3762" w:rsidTr="00CB3D21">
        <w:trPr>
          <w:trHeight w:val="64"/>
        </w:trPr>
        <w:tc>
          <w:tcPr>
            <w:tcW w:w="80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70" w:rsidRPr="007E3762" w:rsidTr="00554691">
        <w:trPr>
          <w:trHeight w:val="66"/>
        </w:trPr>
        <w:tc>
          <w:tcPr>
            <w:tcW w:w="136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6438" w:rsidRPr="007E3762" w:rsidRDefault="005E6438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B3D21" w:rsidRDefault="00CB3D21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Përkufizime:</w:t>
            </w:r>
          </w:p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*Operatori i shpërndarjes - </w:t>
            </w:r>
            <w:r w:rsidRPr="007E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personi juridik i cili shpërndan shërbime mediale audio dhe audio-vizuele për përdoruesit përmes rrjetit kabllor, IPTV, OTT, satelitor dhe çfarëdo forme tjetër të shpërndarjes jashtë brezit frekuencor radio-difuziv tokësor.</w:t>
            </w:r>
          </w:p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4570" w:rsidRPr="007E3762" w:rsidRDefault="00C14570" w:rsidP="00A7792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*Ofrues i shërbimit medial - </w:t>
            </w:r>
            <w:r w:rsidRPr="007E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personi fizik ose juridik që ka përgjegjësi redaktuese për përzgjedhjen e përmbajtjes audio vizuele të ofruesit të shërbimit medial dhe që përcakton mënyrën e organizimit të tij.</w:t>
            </w:r>
          </w:p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*Përdoruesi - </w:t>
            </w:r>
            <w:r w:rsidRPr="007E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personi i cili pranon shërbimet mediale audio dhe audio-vizuele përmes operatorit të shpërndarjes në bazë të një marrëveshje valide.</w:t>
            </w:r>
          </w:p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*Katalogu i ofruesit të shërbimit medial - </w:t>
            </w:r>
            <w:r w:rsidRPr="007E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listë e ofruesve të shërbimit medial që shpërndahen si pjesë e shërbimit të ofruar, për të cilat operatorit i shpërndarjes ka marr të drejtën e shpërndarjes.</w:t>
            </w:r>
          </w:p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4570" w:rsidRPr="007E3762" w:rsidRDefault="00C14570" w:rsidP="00A7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*Këshilli programor i të Licencuarit – </w:t>
            </w:r>
            <w:r w:rsidRPr="007E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trup profesional i themeluar nga i Licencuari që vendos për përzgjedhjen dhe renditjen e kanaleve që do të shpërndahen nga operatori i shpërndarjes. </w:t>
            </w:r>
          </w:p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E6438" w:rsidRPr="007E3762" w:rsidRDefault="005E6438" w:rsidP="007C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 Shërbimi medial audio-vizual – </w:t>
            </w:r>
            <w:r w:rsidRPr="007E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shërbim i cili është nën përgjegjësi</w:t>
            </w:r>
            <w:r w:rsidR="007C5B87" w:rsidRPr="007E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r w:rsidRPr="007E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editoriale të ofruesit shërbimeve</w:t>
            </w:r>
            <w:r w:rsidR="007C5B87" w:rsidRPr="007E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programore dhe parim</w:t>
            </w:r>
            <w:r w:rsidRPr="007E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kryesor i së cilit</w:t>
            </w:r>
            <w:r w:rsidR="007C5B87" w:rsidRPr="007E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është</w:t>
            </w:r>
            <w:r w:rsidRPr="007E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ofrimi i programeve me qëllim që  të informoj</w:t>
            </w:r>
            <w:r w:rsidR="007C5B87" w:rsidRPr="007E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r w:rsidRPr="007E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argëtoj</w:t>
            </w:r>
            <w:r w:rsidR="007C5B87" w:rsidRPr="007E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r w:rsidRPr="007E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apo të edukoj</w:t>
            </w:r>
            <w:r w:rsidR="007C5B87" w:rsidRPr="007E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në</w:t>
            </w:r>
            <w:r w:rsidRPr="007E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gjithë publikun përmes rrjeteve të </w:t>
            </w:r>
            <w:r w:rsidR="007C5B87" w:rsidRPr="007E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komunikimeve</w:t>
            </w:r>
            <w:r w:rsidRPr="007E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elektronik</w:t>
            </w:r>
            <w:r w:rsidR="007C5B87" w:rsidRPr="007E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</w:t>
            </w:r>
          </w:p>
        </w:tc>
      </w:tr>
      <w:tr w:rsidR="00C14570" w:rsidRPr="007E3762" w:rsidTr="00554691">
        <w:trPr>
          <w:trHeight w:val="87"/>
        </w:trPr>
        <w:tc>
          <w:tcPr>
            <w:tcW w:w="136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570" w:rsidRPr="007E3762" w:rsidRDefault="00C14570" w:rsidP="009D7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D7BAE" w:rsidRPr="007E3762" w:rsidRDefault="009D7BAE" w:rsidP="00350310">
      <w:pPr>
        <w:rPr>
          <w:rFonts w:ascii="Times New Roman" w:hAnsi="Times New Roman" w:cs="Times New Roman"/>
        </w:rPr>
      </w:pPr>
    </w:p>
    <w:sectPr w:rsidR="009D7BAE" w:rsidRPr="007E3762" w:rsidSect="00CB3D21">
      <w:footerReference w:type="default" r:id="rId9"/>
      <w:pgSz w:w="15840" w:h="12240" w:orient="landscape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B4" w:rsidRDefault="00EE37B4" w:rsidP="009D7BAE">
      <w:pPr>
        <w:spacing w:after="0" w:line="240" w:lineRule="auto"/>
      </w:pPr>
      <w:r>
        <w:separator/>
      </w:r>
    </w:p>
  </w:endnote>
  <w:endnote w:type="continuationSeparator" w:id="0">
    <w:p w:rsidR="00EE37B4" w:rsidRDefault="00EE37B4" w:rsidP="009D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883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B3D21" w:rsidRDefault="007E5C82">
            <w:pPr>
              <w:pStyle w:val="Footer"/>
              <w:jc w:val="center"/>
            </w:pPr>
            <w:fldSimple w:instr=" PAGE ">
              <w:r w:rsidR="00037501">
                <w:rPr>
                  <w:noProof/>
                </w:rPr>
                <w:t>1</w:t>
              </w:r>
            </w:fldSimple>
            <w:r w:rsidR="00CB3D21" w:rsidRPr="00A1680D">
              <w:t>/</w:t>
            </w:r>
            <w:fldSimple w:instr=" NUMPAGES  ">
              <w:r w:rsidR="00037501">
                <w:rPr>
                  <w:noProof/>
                </w:rPr>
                <w:t>6</w:t>
              </w:r>
            </w:fldSimple>
          </w:p>
        </w:sdtContent>
      </w:sdt>
    </w:sdtContent>
  </w:sdt>
  <w:p w:rsidR="00CB3D21" w:rsidRPr="00A1680D" w:rsidRDefault="00CB3D21" w:rsidP="00A1680D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B4" w:rsidRDefault="00EE37B4" w:rsidP="009D7BAE">
      <w:pPr>
        <w:spacing w:after="0" w:line="240" w:lineRule="auto"/>
      </w:pPr>
      <w:r>
        <w:separator/>
      </w:r>
    </w:p>
  </w:footnote>
  <w:footnote w:type="continuationSeparator" w:id="0">
    <w:p w:rsidR="00EE37B4" w:rsidRDefault="00EE37B4" w:rsidP="009D7BAE">
      <w:pPr>
        <w:spacing w:after="0" w:line="240" w:lineRule="auto"/>
      </w:pPr>
      <w:r>
        <w:continuationSeparator/>
      </w:r>
    </w:p>
  </w:footnote>
  <w:footnote w:id="1">
    <w:p w:rsidR="00CB3D21" w:rsidRPr="00CC317B" w:rsidRDefault="00CB3D21" w:rsidP="00CC317B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CC317B">
        <w:rPr>
          <w:rStyle w:val="FootnoteReference"/>
          <w:rFonts w:ascii="Times New Roman" w:hAnsi="Times New Roman" w:cs="Times New Roman"/>
        </w:rPr>
        <w:footnoteRef/>
      </w:r>
      <w:r w:rsidRPr="00CC317B">
        <w:rPr>
          <w:rFonts w:ascii="Times New Roman" w:hAnsi="Times New Roman" w:cs="Times New Roman"/>
        </w:rPr>
        <w:t xml:space="preserve"> </w:t>
      </w:r>
      <w:r w:rsidRPr="00CC317B">
        <w:rPr>
          <w:rFonts w:ascii="Times New Roman" w:hAnsi="Times New Roman" w:cs="Times New Roman"/>
          <w:sz w:val="18"/>
          <w:szCs w:val="18"/>
        </w:rPr>
        <w:t>Të hyrat e përgjithshme përfshijnë të gjitha të hyrat e realizuara gjatë vitit 2016  së bashku me mjetet e bartura nga viti 2015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9F9"/>
    <w:multiLevelType w:val="hybridMultilevel"/>
    <w:tmpl w:val="859E9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635E4"/>
    <w:multiLevelType w:val="hybridMultilevel"/>
    <w:tmpl w:val="D95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7A0F"/>
    <w:multiLevelType w:val="hybridMultilevel"/>
    <w:tmpl w:val="BBD695C2"/>
    <w:lvl w:ilvl="0" w:tplc="530C6D3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E1261"/>
    <w:multiLevelType w:val="hybridMultilevel"/>
    <w:tmpl w:val="3CE0D5AE"/>
    <w:lvl w:ilvl="0" w:tplc="D7BE52B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1D1054"/>
    <w:multiLevelType w:val="hybridMultilevel"/>
    <w:tmpl w:val="F8824AF0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D5643"/>
    <w:multiLevelType w:val="hybridMultilevel"/>
    <w:tmpl w:val="1434825C"/>
    <w:lvl w:ilvl="0" w:tplc="7EB8C5A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D34C8"/>
    <w:multiLevelType w:val="hybridMultilevel"/>
    <w:tmpl w:val="D7D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B341E"/>
    <w:multiLevelType w:val="hybridMultilevel"/>
    <w:tmpl w:val="47584BB2"/>
    <w:lvl w:ilvl="0" w:tplc="ECD6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953BAF"/>
    <w:multiLevelType w:val="hybridMultilevel"/>
    <w:tmpl w:val="CDD05062"/>
    <w:lvl w:ilvl="0" w:tplc="30D823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D7BAE"/>
    <w:rsid w:val="000245BC"/>
    <w:rsid w:val="00025282"/>
    <w:rsid w:val="00037501"/>
    <w:rsid w:val="000463EC"/>
    <w:rsid w:val="000A7659"/>
    <w:rsid w:val="000A7F86"/>
    <w:rsid w:val="000C7C12"/>
    <w:rsid w:val="000D1B32"/>
    <w:rsid w:val="00114750"/>
    <w:rsid w:val="00136D11"/>
    <w:rsid w:val="00180A37"/>
    <w:rsid w:val="001A403F"/>
    <w:rsid w:val="001B5B90"/>
    <w:rsid w:val="001B5EA8"/>
    <w:rsid w:val="001C0E90"/>
    <w:rsid w:val="001C54B2"/>
    <w:rsid w:val="001E6E31"/>
    <w:rsid w:val="001F0AEA"/>
    <w:rsid w:val="001F55DA"/>
    <w:rsid w:val="00214536"/>
    <w:rsid w:val="0025729D"/>
    <w:rsid w:val="00273414"/>
    <w:rsid w:val="00273452"/>
    <w:rsid w:val="002862C1"/>
    <w:rsid w:val="00296609"/>
    <w:rsid w:val="002A419F"/>
    <w:rsid w:val="002C01D8"/>
    <w:rsid w:val="002E2634"/>
    <w:rsid w:val="002F1A57"/>
    <w:rsid w:val="002F6133"/>
    <w:rsid w:val="002F7152"/>
    <w:rsid w:val="00350310"/>
    <w:rsid w:val="00360E76"/>
    <w:rsid w:val="00383ADE"/>
    <w:rsid w:val="003C708D"/>
    <w:rsid w:val="003D22FA"/>
    <w:rsid w:val="003F3F9D"/>
    <w:rsid w:val="0043491A"/>
    <w:rsid w:val="004407EA"/>
    <w:rsid w:val="00453347"/>
    <w:rsid w:val="00454E87"/>
    <w:rsid w:val="00466682"/>
    <w:rsid w:val="0048532F"/>
    <w:rsid w:val="00493DC4"/>
    <w:rsid w:val="004B55FA"/>
    <w:rsid w:val="004E665B"/>
    <w:rsid w:val="004F798D"/>
    <w:rsid w:val="00514BF3"/>
    <w:rsid w:val="00515B50"/>
    <w:rsid w:val="00522B40"/>
    <w:rsid w:val="00540595"/>
    <w:rsid w:val="00544340"/>
    <w:rsid w:val="00545B2E"/>
    <w:rsid w:val="00554691"/>
    <w:rsid w:val="00562F7F"/>
    <w:rsid w:val="00585D83"/>
    <w:rsid w:val="005909FA"/>
    <w:rsid w:val="00597C5B"/>
    <w:rsid w:val="005A6F56"/>
    <w:rsid w:val="005D1511"/>
    <w:rsid w:val="005E6438"/>
    <w:rsid w:val="006036E5"/>
    <w:rsid w:val="00610CCD"/>
    <w:rsid w:val="00617BE6"/>
    <w:rsid w:val="00642A4C"/>
    <w:rsid w:val="00654138"/>
    <w:rsid w:val="0068271F"/>
    <w:rsid w:val="00682B2F"/>
    <w:rsid w:val="00691DAF"/>
    <w:rsid w:val="006B372A"/>
    <w:rsid w:val="006B5517"/>
    <w:rsid w:val="006C2129"/>
    <w:rsid w:val="006D0960"/>
    <w:rsid w:val="00717C52"/>
    <w:rsid w:val="00737BC5"/>
    <w:rsid w:val="00740761"/>
    <w:rsid w:val="00747F6C"/>
    <w:rsid w:val="00776CB1"/>
    <w:rsid w:val="00796199"/>
    <w:rsid w:val="007C203F"/>
    <w:rsid w:val="007C5B87"/>
    <w:rsid w:val="007D60C4"/>
    <w:rsid w:val="007E3762"/>
    <w:rsid w:val="007E5C82"/>
    <w:rsid w:val="007F1397"/>
    <w:rsid w:val="00812208"/>
    <w:rsid w:val="00816BED"/>
    <w:rsid w:val="00825B80"/>
    <w:rsid w:val="008432E0"/>
    <w:rsid w:val="0085755D"/>
    <w:rsid w:val="00885A74"/>
    <w:rsid w:val="00893EBA"/>
    <w:rsid w:val="008A2944"/>
    <w:rsid w:val="008A3280"/>
    <w:rsid w:val="008B5B91"/>
    <w:rsid w:val="008D14D2"/>
    <w:rsid w:val="008F4380"/>
    <w:rsid w:val="008F779E"/>
    <w:rsid w:val="00901B10"/>
    <w:rsid w:val="00904C1B"/>
    <w:rsid w:val="00906ED3"/>
    <w:rsid w:val="0092017A"/>
    <w:rsid w:val="0093030E"/>
    <w:rsid w:val="00935471"/>
    <w:rsid w:val="00956723"/>
    <w:rsid w:val="00967FD7"/>
    <w:rsid w:val="009771B3"/>
    <w:rsid w:val="009B6849"/>
    <w:rsid w:val="009B7610"/>
    <w:rsid w:val="009C441A"/>
    <w:rsid w:val="009D7BAE"/>
    <w:rsid w:val="009F439D"/>
    <w:rsid w:val="00A1680D"/>
    <w:rsid w:val="00A264BF"/>
    <w:rsid w:val="00A264FF"/>
    <w:rsid w:val="00A3126C"/>
    <w:rsid w:val="00A34BB9"/>
    <w:rsid w:val="00A60131"/>
    <w:rsid w:val="00A62EA9"/>
    <w:rsid w:val="00A67C3B"/>
    <w:rsid w:val="00A77921"/>
    <w:rsid w:val="00A80788"/>
    <w:rsid w:val="00A82125"/>
    <w:rsid w:val="00A844ED"/>
    <w:rsid w:val="00A92A55"/>
    <w:rsid w:val="00AC56F3"/>
    <w:rsid w:val="00AE65A1"/>
    <w:rsid w:val="00AE6D14"/>
    <w:rsid w:val="00B01A2B"/>
    <w:rsid w:val="00B07073"/>
    <w:rsid w:val="00B27788"/>
    <w:rsid w:val="00B27F4B"/>
    <w:rsid w:val="00B3281A"/>
    <w:rsid w:val="00B73A2D"/>
    <w:rsid w:val="00B80B0C"/>
    <w:rsid w:val="00B84718"/>
    <w:rsid w:val="00BA1D09"/>
    <w:rsid w:val="00BB09A7"/>
    <w:rsid w:val="00BB1CE8"/>
    <w:rsid w:val="00BB2B36"/>
    <w:rsid w:val="00BC120A"/>
    <w:rsid w:val="00BC67B9"/>
    <w:rsid w:val="00BC692B"/>
    <w:rsid w:val="00BE2F60"/>
    <w:rsid w:val="00BF629A"/>
    <w:rsid w:val="00C14570"/>
    <w:rsid w:val="00C33A68"/>
    <w:rsid w:val="00C41F67"/>
    <w:rsid w:val="00C5418A"/>
    <w:rsid w:val="00C543FA"/>
    <w:rsid w:val="00C82D99"/>
    <w:rsid w:val="00C842AE"/>
    <w:rsid w:val="00C866AF"/>
    <w:rsid w:val="00CB3D21"/>
    <w:rsid w:val="00CC317B"/>
    <w:rsid w:val="00CE4365"/>
    <w:rsid w:val="00D04351"/>
    <w:rsid w:val="00D04365"/>
    <w:rsid w:val="00D419DE"/>
    <w:rsid w:val="00D73B59"/>
    <w:rsid w:val="00DC6313"/>
    <w:rsid w:val="00DD3393"/>
    <w:rsid w:val="00DF1605"/>
    <w:rsid w:val="00DF639B"/>
    <w:rsid w:val="00E55AF3"/>
    <w:rsid w:val="00E82632"/>
    <w:rsid w:val="00EB7D23"/>
    <w:rsid w:val="00ED533F"/>
    <w:rsid w:val="00EE37B4"/>
    <w:rsid w:val="00EE40E5"/>
    <w:rsid w:val="00EE6548"/>
    <w:rsid w:val="00F21368"/>
    <w:rsid w:val="00F318D8"/>
    <w:rsid w:val="00F44E57"/>
    <w:rsid w:val="00F56AE6"/>
    <w:rsid w:val="00F5701B"/>
    <w:rsid w:val="00F65D93"/>
    <w:rsid w:val="00F72951"/>
    <w:rsid w:val="00F92940"/>
    <w:rsid w:val="00FA25E5"/>
    <w:rsid w:val="00FB7524"/>
    <w:rsid w:val="00FC0D8C"/>
    <w:rsid w:val="00FD1F61"/>
    <w:rsid w:val="00FE71FC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3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AE"/>
  </w:style>
  <w:style w:type="paragraph" w:styleId="Footer">
    <w:name w:val="footer"/>
    <w:basedOn w:val="Normal"/>
    <w:link w:val="Foot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AE"/>
  </w:style>
  <w:style w:type="paragraph" w:styleId="BalloonText">
    <w:name w:val="Balloon Text"/>
    <w:basedOn w:val="Normal"/>
    <w:link w:val="BalloonTextChar"/>
    <w:uiPriority w:val="99"/>
    <w:semiHidden/>
    <w:unhideWhenUsed/>
    <w:rsid w:val="009D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5DA"/>
    <w:pPr>
      <w:ind w:left="720"/>
      <w:contextualSpacing/>
    </w:pPr>
  </w:style>
  <w:style w:type="paragraph" w:customStyle="1" w:styleId="Default">
    <w:name w:val="Default"/>
    <w:rsid w:val="00A92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A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A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09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09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096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97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DC8A7-8350-4224-83E2-BA4B6EAF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fcocaj</cp:lastModifiedBy>
  <cp:revision>2</cp:revision>
  <cp:lastPrinted>2016-03-02T14:03:00Z</cp:lastPrinted>
  <dcterms:created xsi:type="dcterms:W3CDTF">2017-03-10T10:05:00Z</dcterms:created>
  <dcterms:modified xsi:type="dcterms:W3CDTF">2017-03-10T10:05:00Z</dcterms:modified>
</cp:coreProperties>
</file>