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23" w:rsidRDefault="00A57023" w:rsidP="00A57023">
      <w:pPr>
        <w:jc w:val="both"/>
      </w:pPr>
      <w:r>
        <w:t>Komentet e NPSH ARTMOTION në lidhje me konsultimin publik mbi Amandamentimin e Regullorës për Taksën e Licensës</w:t>
      </w:r>
    </w:p>
    <w:p w:rsidR="00A57023" w:rsidRDefault="00A57023" w:rsidP="00A57023">
      <w:pPr>
        <w:jc w:val="both"/>
      </w:pPr>
    </w:p>
    <w:p w:rsidR="00A57023" w:rsidRDefault="00A57023" w:rsidP="00A57023">
      <w:pPr>
        <w:jc w:val="both"/>
      </w:pPr>
      <w:r>
        <w:t>Operatori NPSH ARTMOTION, si pjesëmarrës në tregun e shërbimeve telekomunikuese dhe ofrimit të shërbimeve që mundësohen nga e njejta infrastrukturë duke përfshirë shërbimet e bartjës së përmbajtjës programore (TV kabllor) përkatësisht si operator i cili është licensuar në vitin 2013 nga KPM për të ofruar pakon e vet programore televizive në teritorin e Kosovës bënë këto vërejtje në lidhje me amandamentimin e regullorës së lartëcekur.</w:t>
      </w:r>
    </w:p>
    <w:p w:rsidR="00A57023" w:rsidRDefault="00A57023" w:rsidP="00A57023">
      <w:pPr>
        <w:jc w:val="both"/>
      </w:pPr>
    </w:p>
    <w:p w:rsidR="00A57023" w:rsidRDefault="00A57023" w:rsidP="00A57023">
      <w:pPr>
        <w:jc w:val="both"/>
      </w:pPr>
      <w:r>
        <w:t>1. Mbi Tarifat e larta të taksës për licensë për operatorët e rrjetit</w:t>
      </w:r>
    </w:p>
    <w:p w:rsidR="00A57023" w:rsidRDefault="00A57023" w:rsidP="00A57023">
      <w:pPr>
        <w:jc w:val="both"/>
      </w:pPr>
    </w:p>
    <w:p w:rsidR="00A57023" w:rsidRDefault="00A57023" w:rsidP="00A57023">
      <w:pPr>
        <w:jc w:val="both"/>
      </w:pPr>
      <w:r>
        <w:t>- Krijimi i barrierave për hyrje në treg / Kufizim i konkurencës efektive</w:t>
      </w:r>
    </w:p>
    <w:p w:rsidR="00A57023" w:rsidRDefault="00A57023" w:rsidP="00A57023">
      <w:pPr>
        <w:jc w:val="both"/>
      </w:pPr>
      <w:r>
        <w:t xml:space="preserve">Në këtë pikë, NPSH ARTMOTION konsideron se tarifat e propozuara për taksat e licensës përbëjne kosto të pa përballueshme për operatorët e rrjetit. </w:t>
      </w:r>
      <w:proofErr w:type="gramStart"/>
      <w:r>
        <w:t>Në këtë kontekst mendojmë se tarifat e propozuara paraqesin ngarkesë për zhvillimin e operatorëve.</w:t>
      </w:r>
      <w:proofErr w:type="gramEnd"/>
      <w:r>
        <w:t xml:space="preserve"> Tarifat e larta do të ndikojnë në krijimin e barrierave për hyrje në treg të operatorëve të rinj veprim </w:t>
      </w:r>
      <w:proofErr w:type="gramStart"/>
      <w:r>
        <w:t>ky</w:t>
      </w:r>
      <w:proofErr w:type="gramEnd"/>
      <w:r>
        <w:t xml:space="preserve"> që do të shpiente në kufizim të konkurencës efektive dhe liberalizim të mëtutjeshëm të shërbimeve.</w:t>
      </w:r>
    </w:p>
    <w:p w:rsidR="00A57023" w:rsidRDefault="00A57023" w:rsidP="00A57023">
      <w:pPr>
        <w:jc w:val="both"/>
      </w:pPr>
    </w:p>
    <w:p w:rsidR="00A57023" w:rsidRDefault="00A57023" w:rsidP="00A57023">
      <w:pPr>
        <w:jc w:val="both"/>
      </w:pPr>
      <w:r>
        <w:t>- Mos percaktimi i zonës së mbulimit në njësi më të vogla se qytetet</w:t>
      </w:r>
    </w:p>
    <w:p w:rsidR="00A57023" w:rsidRDefault="00A57023" w:rsidP="00A57023">
      <w:pPr>
        <w:jc w:val="both"/>
      </w:pPr>
      <w:r>
        <w:t>Problematikë shtesë e tarifave të larta e cila ndërlidhet me vërejtjen e mësiperme, paraqet edhe mos përkufizimi i zonës së mbëlueshmërisë në njësi më të vogla se qytetet duke kualifikuar operatorin e rrjetit direkt si operator i cili vepron në qytet edhe pse zona e mbëlueshmërisë se një operatori mund të jetë e kufizuar në shtrirje vetëm në disa fshatra. Marrë parasysh investimet e mëdha që kanë operatorët e rrjetit në ndërtim të një rrjeti modern për të ofruar shërbimet që kërkon tregu në ditët e sotme, ngarkesa më tarifa të cilat nuk përkojnë me zonën e shtrirjës paraqesin shpenzim të panevojshëm</w:t>
      </w:r>
    </w:p>
    <w:p w:rsidR="00A57023" w:rsidRDefault="00A57023" w:rsidP="00A57023">
      <w:pPr>
        <w:jc w:val="both"/>
      </w:pPr>
    </w:p>
    <w:p w:rsidR="00A57023" w:rsidRDefault="00A57023" w:rsidP="00A57023">
      <w:pPr>
        <w:jc w:val="both"/>
      </w:pPr>
      <w:r>
        <w:t>- Ngritja e tarifave</w:t>
      </w:r>
    </w:p>
    <w:p w:rsidR="00A57023" w:rsidRDefault="00A57023" w:rsidP="00A57023">
      <w:pPr>
        <w:jc w:val="both"/>
      </w:pPr>
      <w:proofErr w:type="gramStart"/>
      <w:r>
        <w:t>Artmotion konsideron se ngritja e tarifave për taksën e licensimit nuk është e nevojshme për arsyet e lartë cekura si dhe për arsyetimin e më poshtëm.</w:t>
      </w:r>
      <w:proofErr w:type="gramEnd"/>
    </w:p>
    <w:p w:rsidR="00A57023" w:rsidRDefault="00A57023" w:rsidP="00A57023">
      <w:pPr>
        <w:jc w:val="both"/>
      </w:pPr>
    </w:p>
    <w:p w:rsidR="00A57023" w:rsidRDefault="00A57023" w:rsidP="00A57023">
      <w:pPr>
        <w:jc w:val="both"/>
      </w:pPr>
      <w:proofErr w:type="gramStart"/>
      <w:r>
        <w:t>Në të kaluarën në treg kanë funksionuar numër më i vogël i operatorëve kabllor dhe kryesisht vetëm në zona rurale ku operatorët e mëdhenj nuk kanë shprehur fare interes.</w:t>
      </w:r>
      <w:proofErr w:type="gramEnd"/>
      <w:r>
        <w:t xml:space="preserve">  </w:t>
      </w:r>
      <w:proofErr w:type="gramStart"/>
      <w:r>
        <w:t>Kryesisht tregu ka funksionuar me vetëm 2 operator kabllor kryesor në nivel nacional.</w:t>
      </w:r>
      <w:proofErr w:type="gramEnd"/>
      <w:r>
        <w:t xml:space="preserve"> Konstalacioni i tillë i një tregu me </w:t>
      </w:r>
      <w:proofErr w:type="gramStart"/>
      <w:r>
        <w:t>dy</w:t>
      </w:r>
      <w:proofErr w:type="gramEnd"/>
      <w:r>
        <w:t xml:space="preserve"> ndërrmarrje të vetme nuk paraqet as për së afërti përbërjën e një tregu konkurues dhe ku konsumatorët përfitojnë nga gara në mes operatorëve dhe konkurenca efektive.</w:t>
      </w:r>
    </w:p>
    <w:p w:rsidR="00A57023" w:rsidRDefault="00A57023" w:rsidP="00A57023">
      <w:pPr>
        <w:jc w:val="both"/>
      </w:pPr>
    </w:p>
    <w:p w:rsidR="00A57023" w:rsidRDefault="00A57023" w:rsidP="00A57023">
      <w:pPr>
        <w:jc w:val="both"/>
      </w:pPr>
      <w:proofErr w:type="gramStart"/>
      <w:r>
        <w:t>Që nga viti 2013, ka pasur një hov të pakontestueshëm në zhvillim të rrjeteve kabllore koaksiale dhe optike si në qendrat e mëdha ashtu edhe në fokus në zonat rurale përkatësisht fshatra.</w:t>
      </w:r>
      <w:proofErr w:type="gramEnd"/>
      <w:r>
        <w:t xml:space="preserve"> Ketë zhvillim kryesisht e ka bërë sektori privat përjashtimisht </w:t>
      </w:r>
      <w:proofErr w:type="gramStart"/>
      <w:r>
        <w:t>dy</w:t>
      </w:r>
      <w:proofErr w:type="gramEnd"/>
      <w:r>
        <w:t xml:space="preserve"> operatorëve tradicional. </w:t>
      </w:r>
      <w:proofErr w:type="gramStart"/>
      <w:r>
        <w:t>Kjo për shumë arsye duke filluar nga lehtësimet regullatore të ndërmarrura nga ARKEP, krijimit të alternativave për pakon programore, rritjës së kërkesave për cilësi të shërbimeve brezgjera dhe kombinimit të produkteve (TV+INTERNET+TELEFONI).</w:t>
      </w:r>
      <w:proofErr w:type="gramEnd"/>
    </w:p>
    <w:p w:rsidR="00A57023" w:rsidRDefault="00A57023" w:rsidP="00A57023">
      <w:pPr>
        <w:jc w:val="both"/>
      </w:pPr>
    </w:p>
    <w:p w:rsidR="00A57023" w:rsidRDefault="00A57023" w:rsidP="00A57023">
      <w:pPr>
        <w:jc w:val="both"/>
      </w:pPr>
      <w:proofErr w:type="gramStart"/>
      <w:r>
        <w:t>Këtë e dëshmon edhe fakti që pranë KPM-së ka pasur numër të madh të kërkesave për licensim për ofrim të shërbimeve të distribuimit të programeve përmes kabllos këtë vit.</w:t>
      </w:r>
      <w:proofErr w:type="gramEnd"/>
      <w:r>
        <w:t xml:space="preserve"> </w:t>
      </w:r>
    </w:p>
    <w:p w:rsidR="00A57023" w:rsidRDefault="00A57023" w:rsidP="00A57023">
      <w:pPr>
        <w:jc w:val="both"/>
      </w:pPr>
    </w:p>
    <w:p w:rsidR="00A57023" w:rsidRDefault="00A57023" w:rsidP="00A57023">
      <w:pPr>
        <w:jc w:val="both"/>
      </w:pPr>
      <w:r>
        <w:t xml:space="preserve">Marrë parasysh historikun zhvillimor përkatësisht rritjen e numrit të operatorëve, NPSH ARTMOTION konsideron se tarifat për taksën e licensimit duhet të ulën e </w:t>
      </w:r>
      <w:proofErr w:type="gramStart"/>
      <w:r>
        <w:t>jo</w:t>
      </w:r>
      <w:proofErr w:type="gramEnd"/>
      <w:r>
        <w:t xml:space="preserve"> përkundrazi të ngritën nga KPM, pasi që licensimi i një numri sa më të madh të operatorëve paraqet bazë më të madhe për inkasim të taksave për licensim. </w:t>
      </w:r>
    </w:p>
    <w:p w:rsidR="00A57023" w:rsidRDefault="00A57023" w:rsidP="00A57023">
      <w:pPr>
        <w:jc w:val="both"/>
      </w:pPr>
    </w:p>
    <w:p w:rsidR="00A57023" w:rsidRDefault="00A57023" w:rsidP="00A57023">
      <w:pPr>
        <w:jc w:val="both"/>
      </w:pPr>
      <w:r>
        <w:t>Vlen të shtohet se rritja e tarifave mund të rezultojë në rritje të të hyrave për KPM-në, por nuk konsiderojmë se të hyrat e vjelura nga aktivitetet regullatore duhet të tejkalojnë nevojat që ka KPM-ja për vetfinancim të qëndrueshëm, pasi që një gjë e tillë do të ishtë në kundërshtim me qëllimin e ligjit për KPM-në, ligjit mbi Komunikimet Elektronike, direktivave të Bashkimit Europian, si dhe Dokumentit të Politikave të Sektorit të Komunikimeve Elektronike 2013-2020.</w:t>
      </w:r>
    </w:p>
    <w:p w:rsidR="00A57023" w:rsidRDefault="00A57023" w:rsidP="00A57023">
      <w:pPr>
        <w:jc w:val="both"/>
      </w:pPr>
    </w:p>
    <w:p w:rsidR="00A57023" w:rsidRDefault="00A57023" w:rsidP="00A57023">
      <w:pPr>
        <w:jc w:val="both"/>
      </w:pPr>
      <w:r>
        <w:t>Ky veprim është i panevojshëm nëse mirret parasysh se zhvillimi i dy operatorëve nacional të cilët sot përbëjnë mbi 80% të tregut të operatorëve të rrjetit është bërë me tarifa dukshëm më të ulta dhe fillim të ushtrimit të veprimtarisë së tyre pa ngarkesa fillestare duke pozicionuar operatorët e rinj në pozitë të pabarabartë dhe disavantazh konkurues.</w:t>
      </w:r>
    </w:p>
    <w:p w:rsidR="00A57023" w:rsidRDefault="00A57023" w:rsidP="00A57023">
      <w:pPr>
        <w:jc w:val="both"/>
      </w:pPr>
    </w:p>
    <w:p w:rsidR="00A57023" w:rsidRDefault="00A57023" w:rsidP="00A57023">
      <w:pPr>
        <w:jc w:val="both"/>
      </w:pPr>
      <w:r>
        <w:t>Përmbledhje:</w:t>
      </w:r>
    </w:p>
    <w:p w:rsidR="00A57023" w:rsidRDefault="00A57023" w:rsidP="00A57023">
      <w:pPr>
        <w:jc w:val="both"/>
      </w:pPr>
      <w:r>
        <w:t xml:space="preserve">Artmotion konsideron se lehtësia e hyrjes në treg, burokracia minimale në krijimin dhe funksionalizimin e një ndërmarrjeje, taksimi në bazë të qarkullimit dhe jo në bazë të regjimit të licensave individuale por vetëm në formën e autorizimit </w:t>
      </w:r>
      <w:proofErr w:type="gramStart"/>
      <w:r>
        <w:t>gjeneral ,</w:t>
      </w:r>
      <w:proofErr w:type="gramEnd"/>
      <w:r>
        <w:t xml:space="preserve"> duhet të objektiva të synuara nga kjo regullore. </w:t>
      </w:r>
    </w:p>
    <w:p w:rsidR="00A57023" w:rsidRDefault="00A57023" w:rsidP="00A57023">
      <w:pPr>
        <w:jc w:val="both"/>
      </w:pPr>
      <w:r>
        <w:t xml:space="preserve">NPSH Artmotion favorizon metodën e inkasimit të taksave në bazë të qarkullimit nga veprimtaria dhe </w:t>
      </w:r>
      <w:proofErr w:type="gramStart"/>
      <w:r>
        <w:t>jo</w:t>
      </w:r>
      <w:proofErr w:type="gramEnd"/>
      <w:r>
        <w:t xml:space="preserve"> të ngarkohen operatorët apriori me taksa të larta për licensa individuale, koncept ky i udhëzuar nga direktivat e BE-së të vitit 2002 dhe Kornizave regullatore të vitit 2002 të Komunikimeve Elektronike. Ne ndajmë mendimin se autorizimi gjeneral para fillimit të ushtrimit të veprimtarisë është i nevojshëm, gjë që do të stimulonte dhe lehtësonte hyrjën në treg të operatorëve të rinj dhe që tarifat për këto taksa të jenë minimale duke mbuluar vetëm kostot administrative dhe procedurale, ndërsa operatorët e rrjetit të taksohen pas zhvillimit të veprimtarisë në bazë të të hyrave të gjeneruara nga veprimtaria.</w:t>
      </w:r>
    </w:p>
    <w:p w:rsidR="00A57023" w:rsidRDefault="00A57023" w:rsidP="00A57023">
      <w:pPr>
        <w:jc w:val="both"/>
      </w:pPr>
    </w:p>
    <w:p w:rsidR="00A57023" w:rsidRDefault="00A57023" w:rsidP="00A57023">
      <w:pPr>
        <w:jc w:val="both"/>
      </w:pPr>
      <w:r>
        <w:t>Vlen të shtohet se veprimatria e operatorëve të rrjetit kabllor të cilat nuk shfrytëzojnë resurse të kufizuara sic janë frekuencat nuk është veprimtari e ofruar në baza eksluzive e me këtë operatorët e rrjetit janë të obliguar që të taksohen edhe në nivele të ndryshme për ushtrim të veprimtarisë, duke filluar nga tarifat për ndërtim të rrjetit sic janë lejet komunale dhe të drejtës për shteg, tarifat e ARKEP, tatimi në fitim, tatimi mbi vlerën e shtuar dhe shumë taksime në shumë instanca tjera të ndërlidhura.</w:t>
      </w:r>
    </w:p>
    <w:p w:rsidR="00A57023" w:rsidRDefault="00A57023" w:rsidP="00A57023">
      <w:pPr>
        <w:jc w:val="both"/>
      </w:pPr>
    </w:p>
    <w:p w:rsidR="00A57023" w:rsidRDefault="00A57023" w:rsidP="00A57023">
      <w:pPr>
        <w:jc w:val="both"/>
      </w:pPr>
      <w:r>
        <w:t>Duke shtuar se ngritja e tarifave të taksës për licensë është e panevojshme dhe në shpërputhje me politikat e sektorit të Komunikimeve Elektronike, NPSH ARTMOTION konsideron se nuk duhet të ketë asnjë ngritje të tarifave përkundrazi kërkojmë eliminim të tarifave apo zvoglim në minimum pasi që mendojmë se lejimi i ushtrimit të veprimtarisë cdo pale të interesuar do të zhvillonte tregun dhe rriste konkurencën jo vetëm në lëmin dhe sektorin që regullon KPM-ja, por edhe në sektorët tjerë.</w:t>
      </w:r>
    </w:p>
    <w:p w:rsidR="00A57023" w:rsidRDefault="00A57023" w:rsidP="00A57023">
      <w:pPr>
        <w:jc w:val="both"/>
      </w:pPr>
    </w:p>
    <w:p w:rsidR="00A57023" w:rsidRDefault="00A57023" w:rsidP="00A57023">
      <w:pPr>
        <w:jc w:val="both"/>
      </w:pPr>
      <w:r>
        <w:lastRenderedPageBreak/>
        <w:t xml:space="preserve">Për të qartësuar, NPSH ARTMOTION është pro regjimit të licensimit paraprak (në formën e autorizmit gjeneral) për të ushtruar veprimtarinë por që ky licensim të jetë parakusht për të ushtruar veprimtarinë dhe se është pro shtimit të kontrollit të distribuimit të përmbajtjeve dhe kanaleve nga operatorët e rrjetit, si dhe jemi pro ngritjës së tarifave për gjoba dhe kundervajtje për operatorët që shkelin të drejtat e autorit dhe distribuimin e paautorizuar. </w:t>
      </w:r>
    </w:p>
    <w:p w:rsidR="00A57023" w:rsidRDefault="00A57023" w:rsidP="00A57023">
      <w:pPr>
        <w:jc w:val="both"/>
      </w:pPr>
    </w:p>
    <w:p w:rsidR="00A57023" w:rsidRDefault="00A57023" w:rsidP="00A57023">
      <w:pPr>
        <w:jc w:val="both"/>
      </w:pPr>
      <w:r>
        <w:t xml:space="preserve">Me shpresë se komentet tona do ti merrni parasysh mbeteni </w:t>
      </w:r>
      <w:proofErr w:type="gramStart"/>
      <w:r>
        <w:t>te</w:t>
      </w:r>
      <w:proofErr w:type="gramEnd"/>
      <w:r>
        <w:t xml:space="preserve"> pershendetur.</w:t>
      </w:r>
    </w:p>
    <w:p w:rsidR="00A57023" w:rsidRDefault="00A57023" w:rsidP="00A57023">
      <w:pPr>
        <w:jc w:val="both"/>
      </w:pPr>
    </w:p>
    <w:p w:rsidR="00A57023" w:rsidRDefault="00A57023" w:rsidP="00A57023">
      <w:pPr>
        <w:jc w:val="both"/>
      </w:pPr>
    </w:p>
    <w:p w:rsidR="00A57023" w:rsidRDefault="00A57023" w:rsidP="00A57023">
      <w:pPr>
        <w:jc w:val="both"/>
      </w:pPr>
      <w:r>
        <w:t xml:space="preserve">Komente shtese per Draft Regulloren: PËR NIVELIN DHE MËNYRËN E PAGESËS SË TAKSËS VJETORE TË LICENCËS SË KPM-SË </w:t>
      </w:r>
    </w:p>
    <w:p w:rsidR="00A57023" w:rsidRDefault="00A57023" w:rsidP="00A57023">
      <w:pPr>
        <w:jc w:val="both"/>
      </w:pPr>
    </w:p>
    <w:p w:rsidR="00A57023" w:rsidRDefault="00A57023" w:rsidP="00A57023">
      <w:pPr>
        <w:jc w:val="both"/>
      </w:pPr>
    </w:p>
    <w:p w:rsidR="00A57023" w:rsidRDefault="00A57023" w:rsidP="00A57023">
      <w:pPr>
        <w:jc w:val="both"/>
      </w:pPr>
      <w:r>
        <w:t>1. Neni 4 (Mbi metodologjinë llogaritjës së taksës për operatorët e rrjetit)</w:t>
      </w:r>
    </w:p>
    <w:p w:rsidR="00A57023" w:rsidRDefault="00A57023" w:rsidP="00A57023">
      <w:pPr>
        <w:jc w:val="both"/>
      </w:pPr>
      <w:proofErr w:type="gramStart"/>
      <w:r>
        <w:t>NPSH ARTMOTION nuk pajtohet me metodologjinë e zgjedhur dhe se metodologjia e përzgjedhur nuk është e bazuar në fakte reale dhe mekanizma të matshëm që kanë të bëjnë me Pikën A, B, C, D dhe E të këtij Neni.</w:t>
      </w:r>
      <w:proofErr w:type="gramEnd"/>
      <w:r>
        <w:t xml:space="preserve"> </w:t>
      </w:r>
      <w:proofErr w:type="gramStart"/>
      <w:r>
        <w:t>Komentet dhe vërejtjet e mëposhtme i bashkangjesim në komentet tona paraprake për këtë draft regullore.</w:t>
      </w:r>
      <w:proofErr w:type="gramEnd"/>
    </w:p>
    <w:p w:rsidR="00A57023" w:rsidRDefault="00A57023" w:rsidP="00A57023">
      <w:pPr>
        <w:jc w:val="both"/>
      </w:pPr>
    </w:p>
    <w:p w:rsidR="00A57023" w:rsidRDefault="00A57023" w:rsidP="00A57023">
      <w:pPr>
        <w:jc w:val="both"/>
      </w:pPr>
      <w:r>
        <w:t xml:space="preserve">Vërejtje për pikën </w:t>
      </w:r>
      <w:proofErr w:type="gramStart"/>
      <w:r>
        <w:t>A</w:t>
      </w:r>
      <w:proofErr w:type="gramEnd"/>
      <w:r>
        <w:t xml:space="preserve"> dhe B</w:t>
      </w:r>
    </w:p>
    <w:p w:rsidR="00A57023" w:rsidRDefault="00A57023" w:rsidP="00A57023">
      <w:pPr>
        <w:jc w:val="both"/>
      </w:pPr>
      <w:r>
        <w:t>Për operatorët e rrjetit numri i banorëve dhe numri potencial i parapaguesve dhe marrja si kriter për vlerësim të nivelit të taksës është i papranueshëm me arsyetimin se një operator i rrjetit nuk do të thotë që domosdoshmërisht mbulon atë numër të banorëve dhe ka atë potencial të parapagusve në zonën urbane dhe zonën rurale. Përveq kufizimit në mbëlueshmëri që mund të ketë operatori dhe që në mënyre direkte reflekton në kalkulimin për nivelin e taksës, operatori i rrjetit në zona të caktuara as që mund të mbulojë me shërbime banorët dhe parapaguesit potencial për shkak të marrëveshjeve eksluzive që kanë operatorët e tjerë e që përbëjne zona në komplekse banesore me mijëra parapagues potencial që kanë ndërtuesit e objekteve apo në raste tjera lagje të tëra, e që përkthyer në kalkulimin mbi nivelin e taksës së propozuar nga draft regullorja zbresin dukshëm tarifën.</w:t>
      </w:r>
    </w:p>
    <w:p w:rsidR="00A57023" w:rsidRDefault="00A57023" w:rsidP="00A57023">
      <w:pPr>
        <w:jc w:val="both"/>
      </w:pPr>
      <w:proofErr w:type="gramStart"/>
      <w:r>
        <w:t>Arsyetimi i mësipërm, dëshmon edhe njëher se metodologjia e përllogaritjës e përdorur në draft regullore nuk reflekton saktë kriterin A dhe B.</w:t>
      </w:r>
      <w:proofErr w:type="gramEnd"/>
    </w:p>
    <w:p w:rsidR="00A57023" w:rsidRDefault="00A57023" w:rsidP="00A57023">
      <w:pPr>
        <w:jc w:val="both"/>
      </w:pPr>
    </w:p>
    <w:p w:rsidR="00A57023" w:rsidRDefault="00A57023" w:rsidP="00A57023">
      <w:pPr>
        <w:jc w:val="both"/>
      </w:pPr>
      <w:r>
        <w:t>Pika C</w:t>
      </w:r>
    </w:p>
    <w:p w:rsidR="00A57023" w:rsidRDefault="00A57023" w:rsidP="00A57023">
      <w:pPr>
        <w:jc w:val="both"/>
      </w:pPr>
      <w:r>
        <w:t xml:space="preserve">Këtu duhet të mirrët parasysh numri total i operatorëve të rrjetit që mund të ofrojnë shërbime të njejta, përmes teknologjive jo-kabllore (DVB-T, Wireless, Satelitore, MMDS etj). </w:t>
      </w:r>
      <w:proofErr w:type="gramStart"/>
      <w:r>
        <w:t>Regullorja duhet të trajtojë numrin e operatorëve, ndarjën dhe pjesëmarrjën në treg në mënyre të matshme për taksimin e operatorëve të rrjetit të cilët ndajnë tregun e njejtë dhe potencialin e njejtë.</w:t>
      </w:r>
      <w:proofErr w:type="gramEnd"/>
    </w:p>
    <w:p w:rsidR="00A57023" w:rsidRDefault="00A57023" w:rsidP="00A57023">
      <w:pPr>
        <w:jc w:val="both"/>
      </w:pPr>
    </w:p>
    <w:p w:rsidR="00A57023" w:rsidRDefault="00A57023" w:rsidP="00A57023">
      <w:pPr>
        <w:jc w:val="both"/>
      </w:pPr>
      <w:r>
        <w:t>Pika D</w:t>
      </w:r>
    </w:p>
    <w:p w:rsidR="00A57023" w:rsidRDefault="00A57023" w:rsidP="00A57023">
      <w:pPr>
        <w:jc w:val="both"/>
      </w:pPr>
      <w:proofErr w:type="gramStart"/>
      <w:r>
        <w:t>Cmimi mesatar i përllogaritur nuk është cmim real i tregut, pasi që në treg ka diferencime të mëdha për nga cmimi, duke filluar nga operatorët kabllor në zona rurale që ofrojnë shërbimet e TV kabllor prej 3 EUR në muaj.</w:t>
      </w:r>
      <w:proofErr w:type="gramEnd"/>
      <w:r>
        <w:t xml:space="preserve"> Duhet të mirrët parasysh se të hyrat nga shërbimet e TV kabllor janë dukshëm më të vogla se të propozuarat në draft regullore në rastin e kombinimit të produkteve (TV+internet) e që në mbi 60% të rasteve është praktikë e blejrws sw shwrbimeve.</w:t>
      </w:r>
    </w:p>
    <w:p w:rsidR="00A57023" w:rsidRDefault="00A57023" w:rsidP="00A57023">
      <w:pPr>
        <w:jc w:val="both"/>
      </w:pPr>
    </w:p>
    <w:p w:rsidR="00A57023" w:rsidRDefault="00A57023" w:rsidP="00A57023">
      <w:pPr>
        <w:jc w:val="both"/>
      </w:pPr>
      <w:r>
        <w:lastRenderedPageBreak/>
        <w:t>Pika E</w:t>
      </w:r>
    </w:p>
    <w:p w:rsidR="00A57023" w:rsidRDefault="00A57023" w:rsidP="00A57023">
      <w:pPr>
        <w:jc w:val="both"/>
      </w:pPr>
      <w:proofErr w:type="gramStart"/>
      <w:r>
        <w:t>Është e paqartë përcaktimi i termeve "buxhetit të përgjitshëm".</w:t>
      </w:r>
      <w:proofErr w:type="gramEnd"/>
      <w:r>
        <w:t xml:space="preserve"> </w:t>
      </w:r>
      <w:proofErr w:type="gramStart"/>
      <w:r>
        <w:t>Në draft regullore nuk specifikohet se cka është buxheti i përgjithshëm apo se cka nënkuptohet me buxhetin e përgjithshëm.</w:t>
      </w:r>
      <w:proofErr w:type="gramEnd"/>
      <w:r>
        <w:t xml:space="preserve"> Kontestuese wshtw edhe </w:t>
      </w:r>
    </w:p>
    <w:p w:rsidR="00A57023" w:rsidRDefault="00A57023" w:rsidP="00A57023">
      <w:pPr>
        <w:jc w:val="both"/>
      </w:pPr>
      <w:r>
        <w:t>Sipas praktikave dhe direktivave të Komisionit Europian, të hyrat e regullatorit nga taksat e vëna pjesëmarrësve të një tregu, nuk duhet të tejkalojnë nivelin e shpenzimeve që ka regullatori për operim si organ i pavarur dhe regullativ, pasi tejkalimi i nevojave do të rëndonte tregun, dhe do të krijonte bariera ne treg e me këtë do të reflektonte në cmime të larta dhe konkurencë të kufizuar.</w:t>
      </w:r>
    </w:p>
    <w:p w:rsidR="003E79AA" w:rsidRPr="00A57023" w:rsidRDefault="003E79AA" w:rsidP="00A57023">
      <w:pPr>
        <w:jc w:val="both"/>
      </w:pPr>
    </w:p>
    <w:sectPr w:rsidR="003E79AA" w:rsidRPr="00A57023" w:rsidSect="003E7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57023"/>
    <w:rsid w:val="003E79AA"/>
    <w:rsid w:val="00553BCC"/>
    <w:rsid w:val="00A57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23"/>
    <w:pPr>
      <w:ind w:left="720"/>
      <w:contextualSpacing/>
    </w:pPr>
  </w:style>
</w:styles>
</file>

<file path=word/webSettings.xml><?xml version="1.0" encoding="utf-8"?>
<w:webSettings xmlns:r="http://schemas.openxmlformats.org/officeDocument/2006/relationships" xmlns:w="http://schemas.openxmlformats.org/wordprocessingml/2006/main">
  <w:divs>
    <w:div w:id="1140148955">
      <w:bodyDiv w:val="1"/>
      <w:marLeft w:val="0"/>
      <w:marRight w:val="0"/>
      <w:marTop w:val="0"/>
      <w:marBottom w:val="0"/>
      <w:divBdr>
        <w:top w:val="none" w:sz="0" w:space="0" w:color="auto"/>
        <w:left w:val="none" w:sz="0" w:space="0" w:color="auto"/>
        <w:bottom w:val="none" w:sz="0" w:space="0" w:color="auto"/>
        <w:right w:val="none" w:sz="0" w:space="0" w:color="auto"/>
      </w:divBdr>
    </w:div>
    <w:div w:id="19760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fcocaj</dc:creator>
  <cp:lastModifiedBy>fcocaj</cp:lastModifiedBy>
  <cp:revision>1</cp:revision>
  <dcterms:created xsi:type="dcterms:W3CDTF">2013-12-27T15:23:00Z</dcterms:created>
  <dcterms:modified xsi:type="dcterms:W3CDTF">2013-12-27T15:27:00Z</dcterms:modified>
</cp:coreProperties>
</file>