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F7" w:rsidRDefault="00DA32F7" w:rsidP="005601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932D4">
        <w:rPr>
          <w:rFonts w:ascii="Times New Roman" w:hAnsi="Times New Roman"/>
          <w:b/>
          <w:bCs/>
          <w:sz w:val="24"/>
          <w:szCs w:val="24"/>
        </w:rPr>
        <w:t xml:space="preserve">Comments on </w:t>
      </w:r>
      <w:r w:rsidR="00483763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C53F32">
        <w:rPr>
          <w:rFonts w:ascii="Times New Roman" w:hAnsi="Times New Roman"/>
          <w:b/>
          <w:bCs/>
          <w:sz w:val="24"/>
          <w:szCs w:val="24"/>
        </w:rPr>
        <w:t xml:space="preserve">Draft </w:t>
      </w:r>
      <w:r w:rsidR="00F52FD1">
        <w:rPr>
          <w:rFonts w:ascii="Times New Roman" w:hAnsi="Times New Roman"/>
          <w:b/>
          <w:bCs/>
          <w:sz w:val="24"/>
          <w:szCs w:val="24"/>
        </w:rPr>
        <w:t>R</w:t>
      </w:r>
      <w:r w:rsidR="001663F3">
        <w:rPr>
          <w:rFonts w:ascii="Times New Roman" w:hAnsi="Times New Roman"/>
          <w:b/>
          <w:bCs/>
          <w:sz w:val="24"/>
          <w:szCs w:val="24"/>
        </w:rPr>
        <w:t>egulation</w:t>
      </w:r>
      <w:r w:rsidR="004837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on the </w:t>
      </w:r>
      <w:r w:rsidR="00606067">
        <w:rPr>
          <w:rFonts w:ascii="Times New Roman" w:hAnsi="Times New Roman"/>
          <w:b/>
          <w:bCs/>
          <w:sz w:val="24"/>
          <w:szCs w:val="24"/>
        </w:rPr>
        <w:t>F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inancial </w:t>
      </w:r>
      <w:r w:rsidR="00606067">
        <w:rPr>
          <w:rFonts w:ascii="Times New Roman" w:hAnsi="Times New Roman"/>
          <w:b/>
          <w:bCs/>
          <w:sz w:val="24"/>
          <w:szCs w:val="24"/>
        </w:rPr>
        <w:t>R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equirements </w:t>
      </w:r>
      <w:r w:rsidR="001663F3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606067">
        <w:rPr>
          <w:rFonts w:ascii="Times New Roman" w:hAnsi="Times New Roman"/>
          <w:b/>
          <w:bCs/>
          <w:sz w:val="24"/>
          <w:szCs w:val="24"/>
        </w:rPr>
        <w:t>W</w:t>
      </w:r>
      <w:r w:rsidR="001663F3">
        <w:rPr>
          <w:rFonts w:ascii="Times New Roman" w:hAnsi="Times New Roman"/>
          <w:b/>
          <w:bCs/>
          <w:sz w:val="24"/>
          <w:szCs w:val="24"/>
        </w:rPr>
        <w:t xml:space="preserve">ays of </w:t>
      </w:r>
      <w:r w:rsidR="00606067">
        <w:rPr>
          <w:rFonts w:ascii="Times New Roman" w:hAnsi="Times New Roman"/>
          <w:b/>
          <w:bCs/>
          <w:sz w:val="24"/>
          <w:szCs w:val="24"/>
        </w:rPr>
        <w:t>P</w:t>
      </w:r>
      <w:r w:rsidR="001663F3">
        <w:rPr>
          <w:rFonts w:ascii="Times New Roman" w:hAnsi="Times New Roman"/>
          <w:b/>
          <w:bCs/>
          <w:sz w:val="24"/>
          <w:szCs w:val="24"/>
        </w:rPr>
        <w:t>ayment for</w:t>
      </w:r>
      <w:r w:rsidR="00122A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6067">
        <w:rPr>
          <w:rFonts w:ascii="Times New Roman" w:hAnsi="Times New Roman"/>
          <w:b/>
          <w:bCs/>
          <w:sz w:val="24"/>
          <w:szCs w:val="24"/>
        </w:rPr>
        <w:t>O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btaining a </w:t>
      </w:r>
      <w:r w:rsidR="00606067">
        <w:rPr>
          <w:rFonts w:ascii="Times New Roman" w:hAnsi="Times New Roman"/>
          <w:b/>
          <w:bCs/>
          <w:sz w:val="24"/>
          <w:szCs w:val="24"/>
        </w:rPr>
        <w:t>L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icense for </w:t>
      </w:r>
      <w:r w:rsidR="00606067">
        <w:rPr>
          <w:rFonts w:ascii="Times New Roman" w:hAnsi="Times New Roman"/>
          <w:b/>
          <w:bCs/>
          <w:sz w:val="24"/>
          <w:szCs w:val="24"/>
        </w:rPr>
        <w:t>P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erforming a </w:t>
      </w:r>
      <w:r w:rsidR="00606067">
        <w:rPr>
          <w:rFonts w:ascii="Times New Roman" w:hAnsi="Times New Roman"/>
          <w:b/>
          <w:bCs/>
          <w:sz w:val="24"/>
          <w:szCs w:val="24"/>
        </w:rPr>
        <w:t>B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 xml:space="preserve">roadcasting </w:t>
      </w:r>
      <w:r w:rsidR="00606067">
        <w:rPr>
          <w:rFonts w:ascii="Times New Roman" w:hAnsi="Times New Roman"/>
          <w:b/>
          <w:bCs/>
          <w:sz w:val="24"/>
          <w:szCs w:val="24"/>
        </w:rPr>
        <w:t>A</w:t>
      </w:r>
      <w:r w:rsidR="00F52FD1" w:rsidRPr="00F52FD1">
        <w:rPr>
          <w:rFonts w:ascii="Times New Roman" w:hAnsi="Times New Roman"/>
          <w:b/>
          <w:bCs/>
          <w:sz w:val="24"/>
          <w:szCs w:val="24"/>
        </w:rPr>
        <w:t>ctivity</w:t>
      </w:r>
    </w:p>
    <w:p w:rsidR="00DA32F7" w:rsidRDefault="00AB11F7" w:rsidP="0056019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606067">
        <w:rPr>
          <w:rFonts w:ascii="Times New Roman" w:hAnsi="Times New Roman"/>
          <w:b/>
          <w:bCs/>
          <w:sz w:val="24"/>
          <w:szCs w:val="24"/>
        </w:rPr>
        <w:t>KNKM-201</w:t>
      </w:r>
      <w:r w:rsidR="00333025">
        <w:rPr>
          <w:rFonts w:ascii="Times New Roman" w:hAnsi="Times New Roman"/>
          <w:b/>
          <w:bCs/>
          <w:sz w:val="24"/>
          <w:szCs w:val="24"/>
        </w:rPr>
        <w:t>4</w:t>
      </w:r>
      <w:r w:rsidR="00606067">
        <w:rPr>
          <w:rFonts w:ascii="Times New Roman" w:hAnsi="Times New Roman"/>
          <w:b/>
          <w:bCs/>
          <w:sz w:val="24"/>
          <w:szCs w:val="24"/>
        </w:rPr>
        <w:t>/0</w:t>
      </w:r>
      <w:r w:rsidR="0064244E">
        <w:rPr>
          <w:rFonts w:ascii="Times New Roman" w:hAnsi="Times New Roman"/>
          <w:b/>
          <w:bCs/>
          <w:sz w:val="24"/>
          <w:szCs w:val="24"/>
        </w:rPr>
        <w:t>1</w:t>
      </w:r>
      <w:r w:rsidR="00606067">
        <w:rPr>
          <w:rFonts w:ascii="Times New Roman" w:hAnsi="Times New Roman"/>
          <w:b/>
          <w:bCs/>
          <w:sz w:val="24"/>
          <w:szCs w:val="24"/>
        </w:rPr>
        <w:t>)</w:t>
      </w:r>
    </w:p>
    <w:p w:rsidR="00F932D4" w:rsidRPr="00F932D4" w:rsidRDefault="00F932D4" w:rsidP="0056019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35998" w:rsidRPr="0040411E" w:rsidRDefault="00DA32F7" w:rsidP="00842F16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932D4">
        <w:rPr>
          <w:rFonts w:ascii="Times New Roman" w:hAnsi="Times New Roman"/>
          <w:bCs/>
          <w:sz w:val="24"/>
          <w:szCs w:val="24"/>
        </w:rPr>
        <w:t xml:space="preserve">The </w:t>
      </w:r>
      <w:r w:rsidR="00C53F32">
        <w:rPr>
          <w:rFonts w:ascii="Times New Roman" w:hAnsi="Times New Roman"/>
          <w:bCs/>
          <w:sz w:val="24"/>
          <w:szCs w:val="24"/>
        </w:rPr>
        <w:t xml:space="preserve">Draft 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Regulation on the </w:t>
      </w:r>
      <w:r w:rsidR="00452310">
        <w:rPr>
          <w:rFonts w:ascii="Times New Roman" w:hAnsi="Times New Roman"/>
          <w:bCs/>
          <w:sz w:val="24"/>
          <w:szCs w:val="24"/>
        </w:rPr>
        <w:t>F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inancial </w:t>
      </w:r>
      <w:r w:rsidR="00452310">
        <w:rPr>
          <w:rFonts w:ascii="Times New Roman" w:hAnsi="Times New Roman"/>
          <w:bCs/>
          <w:sz w:val="24"/>
          <w:szCs w:val="24"/>
        </w:rPr>
        <w:t>R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equirements and </w:t>
      </w:r>
      <w:r w:rsidR="00452310">
        <w:rPr>
          <w:rFonts w:ascii="Times New Roman" w:hAnsi="Times New Roman"/>
          <w:bCs/>
          <w:sz w:val="24"/>
          <w:szCs w:val="24"/>
        </w:rPr>
        <w:t>W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ays of </w:t>
      </w:r>
      <w:r w:rsidR="00452310">
        <w:rPr>
          <w:rFonts w:ascii="Times New Roman" w:hAnsi="Times New Roman"/>
          <w:bCs/>
          <w:sz w:val="24"/>
          <w:szCs w:val="24"/>
        </w:rPr>
        <w:t>P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ayment for </w:t>
      </w:r>
      <w:r w:rsidR="00452310">
        <w:rPr>
          <w:rFonts w:ascii="Times New Roman" w:hAnsi="Times New Roman"/>
          <w:bCs/>
          <w:sz w:val="24"/>
          <w:szCs w:val="24"/>
        </w:rPr>
        <w:t>O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btaining a </w:t>
      </w:r>
      <w:r w:rsidR="00452310">
        <w:rPr>
          <w:rFonts w:ascii="Times New Roman" w:hAnsi="Times New Roman"/>
          <w:bCs/>
          <w:sz w:val="24"/>
          <w:szCs w:val="24"/>
        </w:rPr>
        <w:t>L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icense for </w:t>
      </w:r>
      <w:r w:rsidR="00452310">
        <w:rPr>
          <w:rFonts w:ascii="Times New Roman" w:hAnsi="Times New Roman"/>
          <w:bCs/>
          <w:sz w:val="24"/>
          <w:szCs w:val="24"/>
        </w:rPr>
        <w:t>P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erforming a </w:t>
      </w:r>
      <w:r w:rsidR="00452310">
        <w:rPr>
          <w:rFonts w:ascii="Times New Roman" w:hAnsi="Times New Roman"/>
          <w:bCs/>
          <w:sz w:val="24"/>
          <w:szCs w:val="24"/>
        </w:rPr>
        <w:t>B</w:t>
      </w:r>
      <w:r w:rsidR="001663F3" w:rsidRPr="001663F3">
        <w:rPr>
          <w:rFonts w:ascii="Times New Roman" w:hAnsi="Times New Roman"/>
          <w:bCs/>
          <w:sz w:val="24"/>
          <w:szCs w:val="24"/>
        </w:rPr>
        <w:t xml:space="preserve">roadcasting </w:t>
      </w:r>
      <w:r w:rsidR="00452310">
        <w:rPr>
          <w:rFonts w:ascii="Times New Roman" w:hAnsi="Times New Roman"/>
          <w:bCs/>
          <w:sz w:val="24"/>
          <w:szCs w:val="24"/>
        </w:rPr>
        <w:t>A</w:t>
      </w:r>
      <w:r w:rsidR="001663F3" w:rsidRPr="001663F3">
        <w:rPr>
          <w:rFonts w:ascii="Times New Roman" w:hAnsi="Times New Roman"/>
          <w:bCs/>
          <w:sz w:val="24"/>
          <w:szCs w:val="24"/>
        </w:rPr>
        <w:t>ctivity</w:t>
      </w:r>
      <w:r w:rsidR="00826536">
        <w:rPr>
          <w:rFonts w:ascii="Times New Roman" w:hAnsi="Times New Roman"/>
          <w:bCs/>
          <w:sz w:val="24"/>
          <w:szCs w:val="24"/>
        </w:rPr>
        <w:t xml:space="preserve"> </w:t>
      </w:r>
      <w:r w:rsidR="00606067">
        <w:rPr>
          <w:rFonts w:ascii="Times New Roman" w:hAnsi="Times New Roman"/>
          <w:bCs/>
          <w:sz w:val="24"/>
          <w:szCs w:val="24"/>
        </w:rPr>
        <w:t>(</w:t>
      </w:r>
      <w:r w:rsidR="00452310">
        <w:rPr>
          <w:rFonts w:ascii="Times New Roman" w:hAnsi="Times New Roman"/>
          <w:bCs/>
          <w:sz w:val="24"/>
          <w:szCs w:val="24"/>
        </w:rPr>
        <w:t>KNKM-201</w:t>
      </w:r>
      <w:r w:rsidR="002011D8">
        <w:rPr>
          <w:rFonts w:ascii="Times New Roman" w:hAnsi="Times New Roman"/>
          <w:bCs/>
          <w:sz w:val="24"/>
          <w:szCs w:val="24"/>
        </w:rPr>
        <w:t>4</w:t>
      </w:r>
      <w:r w:rsidR="00452310">
        <w:rPr>
          <w:rFonts w:ascii="Times New Roman" w:hAnsi="Times New Roman"/>
          <w:bCs/>
          <w:sz w:val="24"/>
          <w:szCs w:val="24"/>
        </w:rPr>
        <w:t>/0</w:t>
      </w:r>
      <w:r w:rsidR="002011D8">
        <w:rPr>
          <w:rFonts w:ascii="Times New Roman" w:hAnsi="Times New Roman"/>
          <w:bCs/>
          <w:sz w:val="24"/>
          <w:szCs w:val="24"/>
        </w:rPr>
        <w:t>1</w:t>
      </w:r>
      <w:r w:rsidR="00606067">
        <w:rPr>
          <w:rFonts w:ascii="Times New Roman" w:hAnsi="Times New Roman"/>
          <w:bCs/>
          <w:sz w:val="24"/>
          <w:szCs w:val="24"/>
        </w:rPr>
        <w:t>)</w:t>
      </w:r>
      <w:r w:rsidR="00C53F32">
        <w:rPr>
          <w:rFonts w:ascii="Times New Roman" w:hAnsi="Times New Roman"/>
          <w:bCs/>
          <w:sz w:val="24"/>
          <w:szCs w:val="24"/>
        </w:rPr>
        <w:t xml:space="preserve">, </w:t>
      </w:r>
      <w:r w:rsidR="00483763">
        <w:rPr>
          <w:rFonts w:ascii="Times New Roman" w:hAnsi="Times New Roman"/>
          <w:bCs/>
          <w:sz w:val="24"/>
          <w:szCs w:val="24"/>
        </w:rPr>
        <w:t>henceforth referred to as</w:t>
      </w:r>
      <w:r w:rsidR="00122AE8">
        <w:rPr>
          <w:rFonts w:ascii="Times New Roman" w:hAnsi="Times New Roman"/>
          <w:bCs/>
          <w:sz w:val="24"/>
          <w:szCs w:val="24"/>
        </w:rPr>
        <w:t xml:space="preserve"> </w:t>
      </w:r>
      <w:r w:rsidR="009A26B5" w:rsidRPr="0052469D">
        <w:rPr>
          <w:rFonts w:ascii="Times New Roman" w:hAnsi="Times New Roman"/>
          <w:b/>
          <w:bCs/>
          <w:sz w:val="24"/>
          <w:szCs w:val="24"/>
        </w:rPr>
        <w:t>Draft</w:t>
      </w:r>
      <w:r w:rsidR="00AB11F7">
        <w:rPr>
          <w:rFonts w:ascii="Times New Roman" w:hAnsi="Times New Roman"/>
          <w:bCs/>
          <w:sz w:val="24"/>
          <w:szCs w:val="24"/>
        </w:rPr>
        <w:t>,</w:t>
      </w:r>
      <w:r w:rsidR="00122AE8">
        <w:rPr>
          <w:rFonts w:ascii="Times New Roman" w:hAnsi="Times New Roman"/>
          <w:bCs/>
          <w:sz w:val="24"/>
          <w:szCs w:val="24"/>
        </w:rPr>
        <w:t xml:space="preserve"> </w:t>
      </w:r>
      <w:r w:rsidRPr="00F932D4">
        <w:rPr>
          <w:rFonts w:ascii="Times New Roman" w:hAnsi="Times New Roman"/>
          <w:bCs/>
          <w:sz w:val="24"/>
          <w:szCs w:val="24"/>
        </w:rPr>
        <w:t>was assessed with regard to</w:t>
      </w:r>
      <w:r w:rsidR="00941254">
        <w:rPr>
          <w:rFonts w:ascii="Times New Roman" w:hAnsi="Times New Roman"/>
          <w:bCs/>
          <w:sz w:val="24"/>
          <w:szCs w:val="24"/>
        </w:rPr>
        <w:t xml:space="preserve"> </w:t>
      </w:r>
      <w:r w:rsidR="00483763">
        <w:rPr>
          <w:rFonts w:ascii="Times New Roman" w:hAnsi="Times New Roman"/>
          <w:bCs/>
          <w:sz w:val="24"/>
          <w:szCs w:val="24"/>
        </w:rPr>
        <w:t>b</w:t>
      </w:r>
      <w:r w:rsidR="00DE31C2" w:rsidRPr="0040411E">
        <w:rPr>
          <w:rFonts w:ascii="Times New Roman" w:hAnsi="Times New Roman"/>
          <w:bCs/>
          <w:sz w:val="24"/>
          <w:szCs w:val="24"/>
        </w:rPr>
        <w:t xml:space="preserve">est practices of regulators in the </w:t>
      </w:r>
      <w:r w:rsidR="00941254">
        <w:rPr>
          <w:rFonts w:ascii="Times New Roman" w:hAnsi="Times New Roman"/>
          <w:bCs/>
          <w:sz w:val="24"/>
          <w:szCs w:val="24"/>
        </w:rPr>
        <w:t>region</w:t>
      </w:r>
      <w:r w:rsidR="00DE31C2" w:rsidRPr="0040411E">
        <w:rPr>
          <w:rFonts w:ascii="Times New Roman" w:hAnsi="Times New Roman"/>
          <w:bCs/>
          <w:sz w:val="24"/>
          <w:szCs w:val="24"/>
        </w:rPr>
        <w:t xml:space="preserve"> of South East Europe.</w:t>
      </w:r>
    </w:p>
    <w:p w:rsidR="00535998" w:rsidRDefault="00535998" w:rsidP="00560192">
      <w:pPr>
        <w:rPr>
          <w:rFonts w:ascii="Times New Roman" w:hAnsi="Times New Roman"/>
          <w:bCs/>
          <w:sz w:val="24"/>
          <w:szCs w:val="24"/>
        </w:rPr>
      </w:pPr>
    </w:p>
    <w:p w:rsidR="00DA32F7" w:rsidRPr="0040411E" w:rsidRDefault="00467DDE" w:rsidP="001063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Summary</w:t>
      </w:r>
      <w:r w:rsidR="004F2D4E">
        <w:rPr>
          <w:rFonts w:ascii="Times New Roman" w:hAnsi="Times New Roman"/>
          <w:b/>
          <w:bCs/>
          <w:sz w:val="24"/>
          <w:szCs w:val="24"/>
        </w:rPr>
        <w:t xml:space="preserve"> of Comments and Recommendations</w:t>
      </w:r>
    </w:p>
    <w:p w:rsidR="00DA32F7" w:rsidRPr="00F932D4" w:rsidRDefault="00DA32F7" w:rsidP="0056019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40"/>
      </w:tblGrid>
      <w:tr w:rsidR="00DA32F7" w:rsidRPr="00122AE8" w:rsidTr="00122AE8">
        <w:trPr>
          <w:trHeight w:val="102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32F7" w:rsidRPr="00122AE8" w:rsidRDefault="00DA32F7" w:rsidP="00122A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D809EB" w:rsidRDefault="00D809EB" w:rsidP="006C7B49">
            <w:pPr>
              <w:pStyle w:val="ListParagraph"/>
              <w:tabs>
                <w:tab w:val="center" w:pos="4712"/>
              </w:tabs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General Comment</w:t>
            </w:r>
          </w:p>
          <w:p w:rsidR="00941254" w:rsidRPr="00842F16" w:rsidRDefault="00941254" w:rsidP="00842F16">
            <w:pPr>
              <w:pStyle w:val="ListParagraph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809EB" w:rsidRPr="00842F16" w:rsidRDefault="00D809EB" w:rsidP="006C7B49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We recommend the drafter revise </w:t>
            </w:r>
            <w:r w:rsidR="00CD174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the </w:t>
            </w:r>
            <w:r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Serbian language version of the Draft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4F2D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by </w:t>
            </w:r>
            <w:r w:rsidR="00C049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removing </w:t>
            </w:r>
            <w:r w:rsidR="00C04993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</w:t>
            </w:r>
            <w:r w:rsidR="00F207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words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licenca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</w:t>
            </w:r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taksa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replac</w:t>
            </w:r>
            <w:r w:rsidR="004F2D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ing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them with </w:t>
            </w:r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dozvola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za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emitovanje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and </w:t>
            </w:r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naknada</w:t>
            </w:r>
            <w:proofErr w:type="spellEnd"/>
            <w:r w:rsidR="00EF4708" w:rsidRPr="00EF4708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EF4708" w:rsidRPr="00EF470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respectively.</w:t>
            </w:r>
          </w:p>
          <w:p w:rsidR="00D809EB" w:rsidRDefault="00D809EB" w:rsidP="00842F16">
            <w:pPr>
              <w:pStyle w:val="ListParagraph"/>
              <w:suppressAutoHyphens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A96DDC" w:rsidRDefault="00A96DDC" w:rsidP="00F87096">
            <w:pPr>
              <w:pStyle w:val="ListParagraph"/>
              <w:suppressAutoHyphens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Specific Comments</w:t>
            </w:r>
          </w:p>
          <w:p w:rsidR="00941254" w:rsidRDefault="00941254" w:rsidP="00842F16">
            <w:pPr>
              <w:pStyle w:val="ListParagraph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F041D" w:rsidRDefault="006F041D" w:rsidP="00F87096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22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We propose the drafter follow </w:t>
            </w:r>
            <w:r w:rsidR="00EE7AD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the </w:t>
            </w:r>
            <w:r w:rsidRPr="00122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best practices of the regulators in South East Europe</w:t>
            </w:r>
            <w:r w:rsidR="00D6440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as</w:t>
            </w:r>
            <w:r w:rsidR="00DF647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D013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follows:</w:t>
            </w:r>
          </w:p>
          <w:p w:rsidR="00E66F60" w:rsidRDefault="00E66F60" w:rsidP="00E66F60">
            <w:pPr>
              <w:pStyle w:val="ListParagraph"/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E66F60" w:rsidRPr="00122AE8" w:rsidRDefault="00E66F60" w:rsidP="00E66F60">
            <w:pPr>
              <w:pStyle w:val="ListParagraph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122AE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suggest the drafter refrain from using the physical size of the territory, altitude or power of transmitters as a factor for calculation of the fees</w:t>
            </w:r>
            <w:r w:rsidR="008F1DB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. Consider instead only using number of serviced residents as a factor for calculations;</w:t>
            </w:r>
          </w:p>
          <w:p w:rsidR="00E2303B" w:rsidRPr="00122AE8" w:rsidRDefault="00E2303B" w:rsidP="00F87096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7958DA" w:rsidRDefault="007958DA" w:rsidP="00F87096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Consider applying administrative fee for licence in line with applicable </w:t>
            </w:r>
            <w:r w:rsidR="002D1EB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legal framework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on administrative taxes if such </w:t>
            </w:r>
            <w:r w:rsidR="002D1EB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documents are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exist</w:t>
            </w:r>
            <w:r w:rsidR="002D1EB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ing;</w:t>
            </w:r>
          </w:p>
          <w:p w:rsidR="007958DA" w:rsidRDefault="007958DA" w:rsidP="007958DA">
            <w:pPr>
              <w:pStyle w:val="ListParagrap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E56B10" w:rsidRPr="00122AE8" w:rsidRDefault="000C6A33" w:rsidP="00F87096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4F2D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Reconsider using</w:t>
            </w:r>
            <w:r w:rsidR="00E56B10" w:rsidRPr="004F2D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7958D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of </w:t>
            </w:r>
            <w:r w:rsidR="00E56B10" w:rsidRPr="004F2D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the </w:t>
            </w:r>
            <w:r w:rsidR="0027617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potential number of subscribers as a </w:t>
            </w:r>
            <w:r w:rsidR="00E56B10" w:rsidRPr="00DB44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factor for </w:t>
            </w:r>
            <w:r w:rsidR="00D724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calculating</w:t>
            </w:r>
            <w:r w:rsidR="00E56B10" w:rsidRPr="00DB44A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fees</w:t>
            </w:r>
            <w:r w:rsidR="004F2D4E" w:rsidRPr="00241C3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. Instead, </w:t>
            </w:r>
            <w:r w:rsidR="00003BCD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consider</w:t>
            </w:r>
            <w:r w:rsidR="00E56B10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4F2D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the </w:t>
            </w:r>
            <w:r w:rsidR="00E56B10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number of serviced residents </w:t>
            </w:r>
            <w:r w:rsidR="004F2D4E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as a factor </w:t>
            </w:r>
            <w:r w:rsidR="009A26B5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for calcula</w:t>
            </w:r>
            <w:r w:rsidR="00D724F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tions</w:t>
            </w:r>
            <w:r w:rsidR="00E56B10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2D1EB4" w:rsidRPr="00122AE8" w:rsidRDefault="002D1EB4" w:rsidP="00F8709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7958DA" w:rsidRDefault="00081F41" w:rsidP="00F87096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R</w:t>
            </w:r>
            <w:r w:rsidR="00715979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e</w:t>
            </w:r>
            <w:r w:rsidR="008D7F60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consider</w:t>
            </w:r>
            <w:r w:rsidR="00DC61BE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715979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Article 4</w:t>
            </w:r>
            <w:r w:rsidR="0071147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, the</w:t>
            </w:r>
            <w:r w:rsidR="008D7F60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Criteria for Defining the </w:t>
            </w:r>
            <w:r w:rsidR="00DC61BE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Yearly </w:t>
            </w:r>
            <w:r w:rsidR="0071147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Fee,</w:t>
            </w:r>
            <w:r w:rsidR="00C51E1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and revise it as follows: </w:t>
            </w:r>
            <w:r w:rsidR="00A4112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C51E14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a) </w:t>
            </w:r>
            <w:r w:rsidR="00A41128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add the number of programmes </w:t>
            </w:r>
            <w:r w:rsidR="003B4C2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carried</w:t>
            </w:r>
            <w:r w:rsidR="00A41128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to the criteria;</w:t>
            </w:r>
            <w:r w:rsidR="00802FEE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7958DA" w:rsidRDefault="00C51E14" w:rsidP="003B4C2B">
            <w:pPr>
              <w:pStyle w:val="ListParagraph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b) </w:t>
            </w:r>
            <w:r w:rsidR="00FB4FBA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us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e</w:t>
            </w:r>
            <w:r w:rsidR="00FB4FBA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802FEE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the income of the </w:t>
            </w:r>
            <w:r w:rsidR="003B4C2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operator</w:t>
            </w:r>
            <w:r w:rsidR="00802FEE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and not the budget 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as a basis for calculation of the fee; </w:t>
            </w:r>
            <w:r w:rsidR="00802FEE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  <w:p w:rsidR="003B4C2B" w:rsidRDefault="00C51E14" w:rsidP="003B4C2B">
            <w:pPr>
              <w:pStyle w:val="ListParagraph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c) </w:t>
            </w:r>
            <w:r w:rsidR="00A41128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us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e</w:t>
            </w:r>
            <w:r w:rsidR="00E817C6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FB4FBA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the number of actual subscribers and not the number of potential subscribers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as a basis for calculation of the fee</w:t>
            </w:r>
            <w:r w:rsidR="00E817C6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; and </w:t>
            </w:r>
          </w:p>
          <w:p w:rsidR="0051247F" w:rsidRPr="00C04993" w:rsidRDefault="00C51E14" w:rsidP="003B4C2B">
            <w:pPr>
              <w:pStyle w:val="ListParagraph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d) </w:t>
            </w:r>
            <w:r w:rsidR="00E817C6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do not </w:t>
            </w:r>
            <w:r w:rsidR="00E817C6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us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e</w:t>
            </w:r>
            <w:r w:rsidR="00E817C6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the number of </w:t>
            </w:r>
            <w:r w:rsidR="00FB4FBA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residents</w:t>
            </w:r>
            <w:r w:rsidR="00A41128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B607E1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as 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a </w:t>
            </w:r>
            <w:r w:rsidR="00B607E1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basis </w:t>
            </w:r>
            <w:r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for </w:t>
            </w:r>
            <w:r w:rsidR="00D976E9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calculati</w:t>
            </w:r>
            <w:r w:rsidR="00E91BD7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ng</w:t>
            </w:r>
            <w:r w:rsidR="0071147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the fee</w:t>
            </w:r>
            <w:r w:rsidR="00281764" w:rsidRPr="00C0499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DC61BE" w:rsidRPr="00122AE8" w:rsidRDefault="00DC61BE" w:rsidP="00F87096">
            <w:pPr>
              <w:suppressAutoHyphens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A6582A" w:rsidRPr="00122AE8" w:rsidRDefault="00FB394B" w:rsidP="00F87096">
            <w:pPr>
              <w:pStyle w:val="ListParagraph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Revise</w:t>
            </w:r>
            <w:r w:rsidR="0051247F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Article </w:t>
            </w:r>
            <w:r w:rsidR="00003BCD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6</w:t>
            </w:r>
            <w:r w:rsidR="00122AE8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28176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to allow clients to </w:t>
            </w:r>
            <w:r w:rsidR="00003BCD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pay fees</w:t>
            </w:r>
            <w:r w:rsidR="00281764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="00E817C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in </w:t>
            </w:r>
            <w:r w:rsidR="00F2071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instalments</w:t>
            </w:r>
            <w:r w:rsidR="0051247F" w:rsidRPr="00122A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9B6908" w:rsidRPr="00122AE8" w:rsidRDefault="009B6908" w:rsidP="00122AE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</w:p>
          <w:p w:rsidR="009B6908" w:rsidRPr="00122AE8" w:rsidRDefault="009B6908" w:rsidP="00122AE8">
            <w:pPr>
              <w:pStyle w:val="Default"/>
              <w:suppressAutoHyphens/>
              <w:jc w:val="both"/>
              <w:rPr>
                <w:b/>
                <w:bCs/>
                <w:i/>
                <w:color w:val="auto"/>
                <w:lang w:val="en-GB" w:eastAsia="en-GB"/>
              </w:rPr>
            </w:pPr>
          </w:p>
          <w:p w:rsidR="009B6908" w:rsidRPr="00122AE8" w:rsidRDefault="009B6908" w:rsidP="00842F16">
            <w:pPr>
              <w:pStyle w:val="ListParagraph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976192" w:rsidRDefault="00976192" w:rsidP="00560192">
      <w:pPr>
        <w:pStyle w:val="CommentText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F5685F" w:rsidRPr="006C04FC" w:rsidRDefault="00F87096" w:rsidP="00265A7A">
      <w:pPr>
        <w:pStyle w:val="CommentTex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br w:type="page"/>
      </w:r>
      <w:r w:rsidR="00DA32F7" w:rsidRPr="00F932D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lastRenderedPageBreak/>
        <w:t>General Comments:</w:t>
      </w:r>
    </w:p>
    <w:p w:rsidR="00241C38" w:rsidRPr="00241C38" w:rsidRDefault="002E404F" w:rsidP="00241C38">
      <w:pPr>
        <w:pStyle w:val="CommentText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>R</w:t>
      </w:r>
      <w:r w:rsidR="00DA32F7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 xml:space="preserve">evise </w:t>
      </w:r>
      <w:r w:rsidR="00CD174A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 xml:space="preserve">the </w:t>
      </w:r>
      <w:r w:rsidR="00976192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 xml:space="preserve">Serbian </w:t>
      </w:r>
      <w:r w:rsidR="00DA32F7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 xml:space="preserve">language version of the </w:t>
      </w:r>
      <w:r w:rsidR="00976192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>D</w:t>
      </w:r>
      <w:r w:rsidR="00DA32F7" w:rsidRPr="002E404F">
        <w:rPr>
          <w:rFonts w:ascii="Times New Roman" w:hAnsi="Times New Roman"/>
          <w:b/>
          <w:bCs/>
          <w:i/>
          <w:sz w:val="24"/>
          <w:szCs w:val="24"/>
          <w:lang w:val="en-GB"/>
        </w:rPr>
        <w:t xml:space="preserve">raft </w:t>
      </w:r>
    </w:p>
    <w:p w:rsidR="00976192" w:rsidRPr="00241C38" w:rsidRDefault="002E404F" w:rsidP="00241C38">
      <w:pPr>
        <w:pStyle w:val="CommentText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The quality of the l</w:t>
      </w:r>
      <w:r w:rsidR="00DA32F7" w:rsidRPr="002E404F">
        <w:rPr>
          <w:rFonts w:ascii="Times New Roman" w:hAnsi="Times New Roman"/>
          <w:bCs/>
          <w:sz w:val="24"/>
          <w:szCs w:val="24"/>
          <w:lang w:val="en-GB"/>
        </w:rPr>
        <w:t xml:space="preserve">anguage </w:t>
      </w:r>
      <w:r w:rsidR="005223BB" w:rsidRPr="002E404F">
        <w:rPr>
          <w:rFonts w:ascii="Times New Roman" w:hAnsi="Times New Roman"/>
          <w:bCs/>
          <w:sz w:val="24"/>
          <w:szCs w:val="24"/>
          <w:lang w:val="en-GB"/>
        </w:rPr>
        <w:t xml:space="preserve">in the </w:t>
      </w:r>
      <w:r w:rsidR="0046144D" w:rsidRPr="002E404F">
        <w:rPr>
          <w:rFonts w:ascii="Times New Roman" w:hAnsi="Times New Roman"/>
          <w:bCs/>
          <w:sz w:val="24"/>
          <w:szCs w:val="24"/>
          <w:lang w:val="en-GB"/>
        </w:rPr>
        <w:t xml:space="preserve">Serbian </w:t>
      </w:r>
      <w:r w:rsidR="005223BB" w:rsidRPr="002E404F">
        <w:rPr>
          <w:rFonts w:ascii="Times New Roman" w:hAnsi="Times New Roman"/>
          <w:bCs/>
          <w:sz w:val="24"/>
          <w:szCs w:val="24"/>
          <w:lang w:val="en-GB"/>
        </w:rPr>
        <w:t xml:space="preserve">translation of the Draft </w:t>
      </w:r>
      <w:r w:rsidR="00C14523" w:rsidRPr="002E404F">
        <w:rPr>
          <w:rFonts w:ascii="Times New Roman" w:hAnsi="Times New Roman"/>
          <w:bCs/>
          <w:sz w:val="24"/>
          <w:szCs w:val="24"/>
          <w:lang w:val="en-GB"/>
        </w:rPr>
        <w:t>should</w:t>
      </w:r>
      <w:r w:rsidR="00DA32F7" w:rsidRPr="002E404F">
        <w:rPr>
          <w:rFonts w:ascii="Times New Roman" w:hAnsi="Times New Roman"/>
          <w:bCs/>
          <w:sz w:val="24"/>
          <w:szCs w:val="24"/>
          <w:lang w:val="en-GB"/>
        </w:rPr>
        <w:t xml:space="preserve"> be </w:t>
      </w:r>
      <w:r w:rsidR="00446F82" w:rsidRPr="002E404F">
        <w:rPr>
          <w:rFonts w:ascii="Times New Roman" w:hAnsi="Times New Roman"/>
          <w:bCs/>
          <w:sz w:val="24"/>
          <w:szCs w:val="24"/>
          <w:lang w:val="en-GB"/>
        </w:rPr>
        <w:t>improved.</w:t>
      </w:r>
      <w:r w:rsidR="00381DAD" w:rsidRPr="002E404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>S</w:t>
      </w:r>
      <w:r w:rsidR="00B0666B" w:rsidRPr="002E404F">
        <w:rPr>
          <w:rFonts w:ascii="Times New Roman" w:hAnsi="Times New Roman"/>
          <w:bCs/>
          <w:sz w:val="24"/>
          <w:szCs w:val="24"/>
          <w:lang w:val="en-GB"/>
        </w:rPr>
        <w:t xml:space="preserve">everal </w:t>
      </w:r>
      <w:r w:rsidR="005223BB" w:rsidRPr="002E404F">
        <w:rPr>
          <w:rFonts w:ascii="Times New Roman" w:hAnsi="Times New Roman"/>
          <w:bCs/>
          <w:sz w:val="24"/>
          <w:szCs w:val="24"/>
          <w:lang w:val="en-GB"/>
        </w:rPr>
        <w:t xml:space="preserve">mistakes in the Serbian language </w:t>
      </w:r>
      <w:r w:rsidR="00B0666B" w:rsidRPr="002E404F">
        <w:rPr>
          <w:rFonts w:ascii="Times New Roman" w:hAnsi="Times New Roman"/>
          <w:bCs/>
          <w:sz w:val="24"/>
          <w:szCs w:val="24"/>
          <w:lang w:val="en-GB"/>
        </w:rPr>
        <w:t xml:space="preserve">version </w:t>
      </w:r>
      <w:r w:rsidR="005223BB" w:rsidRPr="002E404F">
        <w:rPr>
          <w:rFonts w:ascii="Times New Roman" w:hAnsi="Times New Roman"/>
          <w:bCs/>
          <w:sz w:val="24"/>
          <w:szCs w:val="24"/>
          <w:lang w:val="en-GB"/>
        </w:rPr>
        <w:t>of the Draft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a</w:t>
      </w:r>
      <w:r w:rsidR="003B4C2B">
        <w:rPr>
          <w:rFonts w:ascii="Times New Roman" w:hAnsi="Times New Roman"/>
          <w:bCs/>
          <w:sz w:val="24"/>
          <w:szCs w:val="24"/>
          <w:lang w:val="en-GB"/>
        </w:rPr>
        <w:t>re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observed</w:t>
      </w:r>
      <w:r w:rsidR="005D3006" w:rsidRPr="002E404F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B0666B" w:rsidRPr="002E404F">
        <w:rPr>
          <w:rFonts w:ascii="Times New Roman" w:hAnsi="Times New Roman"/>
          <w:bCs/>
          <w:sz w:val="24"/>
          <w:szCs w:val="24"/>
          <w:lang w:val="en-GB"/>
        </w:rPr>
        <w:t>For example</w:t>
      </w:r>
      <w:r w:rsidR="00942859" w:rsidRPr="002E404F">
        <w:rPr>
          <w:rFonts w:ascii="Times New Roman" w:hAnsi="Times New Roman"/>
          <w:bCs/>
          <w:sz w:val="24"/>
          <w:szCs w:val="24"/>
          <w:lang w:val="en-GB"/>
        </w:rPr>
        <w:t>,</w:t>
      </w:r>
      <w:r w:rsidR="008A7C47" w:rsidRPr="002E404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267913" w:rsidRPr="002E404F">
        <w:rPr>
          <w:rFonts w:ascii="Times New Roman" w:hAnsi="Times New Roman"/>
          <w:bCs/>
          <w:sz w:val="24"/>
          <w:szCs w:val="24"/>
          <w:lang w:val="en-GB"/>
        </w:rPr>
        <w:t xml:space="preserve">in </w:t>
      </w:r>
      <w:r w:rsidR="005D3006" w:rsidRPr="002E404F">
        <w:rPr>
          <w:rFonts w:ascii="Times New Roman" w:hAnsi="Times New Roman"/>
          <w:bCs/>
          <w:sz w:val="24"/>
          <w:szCs w:val="24"/>
          <w:lang w:val="en-GB"/>
        </w:rPr>
        <w:t xml:space="preserve">the title of the Draft </w:t>
      </w:r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Uredba</w:t>
      </w:r>
      <w:proofErr w:type="spellEnd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o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visini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i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načinu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plaćanja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godisnje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>takse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za</w:t>
      </w:r>
      <w:proofErr w:type="spellEnd"/>
      <w:r w:rsidR="00122AE8" w:rsidRPr="002E404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licencu</w:t>
      </w:r>
      <w:proofErr w:type="spellEnd"/>
      <w:r w:rsidR="0068570D" w:rsidRPr="002E404F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68570D" w:rsidRPr="002E404F">
        <w:rPr>
          <w:rFonts w:ascii="Times New Roman" w:hAnsi="Times New Roman"/>
          <w:bCs/>
          <w:sz w:val="24"/>
          <w:szCs w:val="24"/>
          <w:lang w:val="en-GB"/>
        </w:rPr>
        <w:t xml:space="preserve"> and then throughout the entire Draft </w:t>
      </w:r>
      <w:r w:rsidR="00381DAD" w:rsidRPr="002E404F">
        <w:rPr>
          <w:rFonts w:ascii="Times New Roman" w:hAnsi="Times New Roman"/>
          <w:bCs/>
          <w:sz w:val="24"/>
          <w:szCs w:val="24"/>
          <w:lang w:val="en-GB"/>
        </w:rPr>
        <w:t xml:space="preserve">the </w:t>
      </w:r>
      <w:r w:rsidR="00F11F14" w:rsidRPr="002E404F">
        <w:rPr>
          <w:rFonts w:ascii="Times New Roman" w:hAnsi="Times New Roman"/>
          <w:bCs/>
          <w:sz w:val="24"/>
          <w:szCs w:val="24"/>
          <w:lang w:val="en-GB"/>
        </w:rPr>
        <w:t>term</w:t>
      </w:r>
      <w:r w:rsidR="008A7C47" w:rsidRPr="002E404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F11F14" w:rsidRPr="002E404F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="00F11F14" w:rsidRPr="002E404F">
        <w:rPr>
          <w:rFonts w:ascii="Times New Roman" w:hAnsi="Times New Roman"/>
          <w:b/>
          <w:bCs/>
          <w:sz w:val="24"/>
          <w:szCs w:val="24"/>
          <w:lang w:val="en-GB"/>
        </w:rPr>
        <w:t>licenca</w:t>
      </w:r>
      <w:proofErr w:type="spellEnd"/>
      <w:r w:rsidR="00F11F14" w:rsidRPr="002E404F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68570D" w:rsidRPr="002E404F">
        <w:rPr>
          <w:rFonts w:ascii="Times New Roman" w:hAnsi="Times New Roman"/>
          <w:bCs/>
          <w:sz w:val="24"/>
          <w:szCs w:val="24"/>
          <w:lang w:val="en-GB"/>
        </w:rPr>
        <w:t xml:space="preserve"> is used. That </w:t>
      </w:r>
      <w:r w:rsidR="00F11F14" w:rsidRPr="002E404F">
        <w:rPr>
          <w:rFonts w:ascii="Times New Roman" w:hAnsi="Times New Roman"/>
          <w:bCs/>
          <w:sz w:val="24"/>
          <w:szCs w:val="24"/>
          <w:lang w:val="en-GB"/>
        </w:rPr>
        <w:t xml:space="preserve">term is not recognised as official in </w:t>
      </w:r>
      <w:r w:rsidR="0068570D" w:rsidRPr="002E404F">
        <w:rPr>
          <w:rFonts w:ascii="Times New Roman" w:hAnsi="Times New Roman"/>
          <w:bCs/>
          <w:sz w:val="24"/>
          <w:szCs w:val="24"/>
          <w:lang w:val="en-GB"/>
        </w:rPr>
        <w:t xml:space="preserve">Serbian language and we suggest the </w:t>
      </w:r>
      <w:r w:rsidR="00F11F14" w:rsidRPr="00DB44A3">
        <w:rPr>
          <w:rFonts w:ascii="Times New Roman" w:hAnsi="Times New Roman"/>
          <w:bCs/>
          <w:sz w:val="24"/>
          <w:szCs w:val="24"/>
          <w:lang w:val="en-GB"/>
        </w:rPr>
        <w:t>term</w:t>
      </w:r>
      <w:r w:rsidR="00826536" w:rsidRPr="00241C3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F11F14" w:rsidRPr="00241C38">
        <w:rPr>
          <w:rFonts w:ascii="Times New Roman" w:hAnsi="Times New Roman"/>
          <w:bCs/>
          <w:sz w:val="24"/>
          <w:szCs w:val="24"/>
          <w:lang w:val="en-GB"/>
        </w:rPr>
        <w:t>“</w:t>
      </w:r>
      <w:proofErr w:type="spellStart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licenc</w:t>
      </w:r>
      <w:r w:rsidR="005F22B5" w:rsidRPr="00241C38">
        <w:rPr>
          <w:rFonts w:ascii="Times New Roman" w:hAnsi="Times New Roman"/>
          <w:b/>
          <w:bCs/>
          <w:sz w:val="24"/>
          <w:szCs w:val="24"/>
          <w:lang w:val="en-GB"/>
        </w:rPr>
        <w:t>a</w:t>
      </w:r>
      <w:proofErr w:type="spellEnd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68570D" w:rsidRPr="00241C38">
        <w:rPr>
          <w:rFonts w:ascii="Times New Roman" w:hAnsi="Times New Roman"/>
          <w:bCs/>
          <w:sz w:val="24"/>
          <w:szCs w:val="24"/>
          <w:lang w:val="en-GB"/>
        </w:rPr>
        <w:t xml:space="preserve"> is replaced with </w:t>
      </w:r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dozvola</w:t>
      </w:r>
      <w:proofErr w:type="spellEnd"/>
      <w:r w:rsidR="00122AE8" w:rsidRPr="00241C3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za</w:t>
      </w:r>
      <w:proofErr w:type="spellEnd"/>
      <w:r w:rsidR="00122AE8" w:rsidRPr="00241C3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emitovanje</w:t>
      </w:r>
      <w:proofErr w:type="spellEnd"/>
      <w:r w:rsidR="00F11F14" w:rsidRPr="00241C38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F11F14" w:rsidRPr="00241C38">
        <w:rPr>
          <w:rFonts w:ascii="Times New Roman" w:hAnsi="Times New Roman"/>
          <w:bCs/>
          <w:sz w:val="24"/>
          <w:szCs w:val="24"/>
          <w:lang w:val="en-GB"/>
        </w:rPr>
        <w:t>.</w:t>
      </w:r>
      <w:r w:rsidR="00456E15" w:rsidRPr="00241C38">
        <w:rPr>
          <w:rFonts w:ascii="Times New Roman" w:hAnsi="Times New Roman"/>
          <w:bCs/>
          <w:sz w:val="24"/>
          <w:szCs w:val="24"/>
          <w:lang w:val="en-GB"/>
        </w:rPr>
        <w:t xml:space="preserve"> We also suggest </w:t>
      </w:r>
      <w:r w:rsidR="006935F9">
        <w:rPr>
          <w:rFonts w:ascii="Times New Roman" w:hAnsi="Times New Roman"/>
          <w:bCs/>
          <w:sz w:val="24"/>
          <w:szCs w:val="24"/>
          <w:lang w:val="en-GB"/>
        </w:rPr>
        <w:t xml:space="preserve">that </w:t>
      </w:r>
      <w:r w:rsidR="00456E15" w:rsidRPr="00241C38">
        <w:rPr>
          <w:rFonts w:ascii="Times New Roman" w:hAnsi="Times New Roman"/>
          <w:bCs/>
          <w:sz w:val="24"/>
          <w:szCs w:val="24"/>
          <w:lang w:val="en-GB"/>
        </w:rPr>
        <w:t xml:space="preserve">the drafter </w:t>
      </w:r>
      <w:r w:rsidR="006935F9">
        <w:rPr>
          <w:rFonts w:ascii="Times New Roman" w:hAnsi="Times New Roman"/>
          <w:bCs/>
          <w:sz w:val="24"/>
          <w:szCs w:val="24"/>
          <w:lang w:val="en-GB"/>
        </w:rPr>
        <w:t>replace the</w:t>
      </w:r>
      <w:r w:rsidR="00456E15" w:rsidRPr="00241C38">
        <w:rPr>
          <w:rFonts w:ascii="Times New Roman" w:hAnsi="Times New Roman"/>
          <w:bCs/>
          <w:sz w:val="24"/>
          <w:szCs w:val="24"/>
          <w:lang w:val="en-GB"/>
        </w:rPr>
        <w:t xml:space="preserve"> word </w:t>
      </w:r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taksa</w:t>
      </w:r>
      <w:proofErr w:type="spellEnd"/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456E15" w:rsidRPr="00241C38">
        <w:rPr>
          <w:rFonts w:ascii="Times New Roman" w:hAnsi="Times New Roman"/>
          <w:bCs/>
          <w:sz w:val="24"/>
          <w:szCs w:val="24"/>
          <w:lang w:val="en-GB"/>
        </w:rPr>
        <w:t xml:space="preserve"> with </w:t>
      </w:r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“</w:t>
      </w:r>
      <w:proofErr w:type="spellStart"/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naknada</w:t>
      </w:r>
      <w:proofErr w:type="spellEnd"/>
      <w:r w:rsidR="00456E15" w:rsidRPr="00241C38">
        <w:rPr>
          <w:rFonts w:ascii="Times New Roman" w:hAnsi="Times New Roman"/>
          <w:b/>
          <w:bCs/>
          <w:sz w:val="24"/>
          <w:szCs w:val="24"/>
          <w:lang w:val="en-GB"/>
        </w:rPr>
        <w:t>”</w:t>
      </w:r>
      <w:r w:rsidR="009C67FA" w:rsidRPr="00241C38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F11F14" w:rsidRPr="00241C38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3F2137" w:rsidRPr="00241C38">
        <w:rPr>
          <w:rFonts w:ascii="Times New Roman" w:hAnsi="Times New Roman"/>
          <w:bCs/>
          <w:sz w:val="24"/>
          <w:szCs w:val="24"/>
          <w:lang w:val="en-GB"/>
        </w:rPr>
        <w:t>L</w:t>
      </w:r>
      <w:r w:rsidR="00DA32F7" w:rsidRPr="00241C38">
        <w:rPr>
          <w:rFonts w:ascii="Times New Roman" w:hAnsi="Times New Roman"/>
          <w:bCs/>
          <w:sz w:val="24"/>
          <w:szCs w:val="24"/>
          <w:lang w:val="en-GB"/>
        </w:rPr>
        <w:t xml:space="preserve">egal clarity and precision are of vital importance for the proper implementation and enforcement of the 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>regulations</w:t>
      </w:r>
      <w:r w:rsidR="00DA32F7" w:rsidRPr="00241C38">
        <w:rPr>
          <w:rFonts w:ascii="Times New Roman" w:hAnsi="Times New Roman"/>
          <w:bCs/>
          <w:sz w:val="24"/>
          <w:szCs w:val="24"/>
          <w:lang w:val="en-GB"/>
        </w:rPr>
        <w:t>. Therefore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>,</w:t>
      </w:r>
      <w:r w:rsidR="00DA32F7" w:rsidRPr="00241C38">
        <w:rPr>
          <w:rFonts w:ascii="Times New Roman" w:hAnsi="Times New Roman"/>
          <w:bCs/>
          <w:sz w:val="24"/>
          <w:szCs w:val="24"/>
          <w:lang w:val="en-GB"/>
        </w:rPr>
        <w:t xml:space="preserve"> we recommend that the drafter revise </w:t>
      </w:r>
      <w:r w:rsidR="006935F9">
        <w:rPr>
          <w:rFonts w:ascii="Times New Roman" w:hAnsi="Times New Roman"/>
          <w:bCs/>
          <w:sz w:val="24"/>
          <w:szCs w:val="24"/>
          <w:lang w:val="en-GB"/>
        </w:rPr>
        <w:t xml:space="preserve">the 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 xml:space="preserve">Serbian </w:t>
      </w:r>
      <w:r w:rsidR="00DA32F7" w:rsidRPr="00241C38">
        <w:rPr>
          <w:rFonts w:ascii="Times New Roman" w:hAnsi="Times New Roman"/>
          <w:bCs/>
          <w:sz w:val="24"/>
          <w:szCs w:val="24"/>
          <w:lang w:val="en-GB"/>
        </w:rPr>
        <w:t xml:space="preserve">language version of the 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>D</w:t>
      </w:r>
      <w:r w:rsidR="00DA32F7" w:rsidRPr="00241C38">
        <w:rPr>
          <w:rFonts w:ascii="Times New Roman" w:hAnsi="Times New Roman"/>
          <w:bCs/>
          <w:sz w:val="24"/>
          <w:szCs w:val="24"/>
          <w:lang w:val="en-GB"/>
        </w:rPr>
        <w:t xml:space="preserve">raft and ensure </w:t>
      </w:r>
      <w:r w:rsidR="006935F9">
        <w:rPr>
          <w:rFonts w:ascii="Times New Roman" w:hAnsi="Times New Roman"/>
          <w:bCs/>
          <w:sz w:val="24"/>
          <w:szCs w:val="24"/>
          <w:lang w:val="en-GB"/>
        </w:rPr>
        <w:t xml:space="preserve">that 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 xml:space="preserve">the Draft is </w:t>
      </w:r>
      <w:r w:rsidR="006935F9">
        <w:rPr>
          <w:rFonts w:ascii="Times New Roman" w:hAnsi="Times New Roman"/>
          <w:bCs/>
          <w:sz w:val="24"/>
          <w:szCs w:val="24"/>
          <w:lang w:val="en-GB"/>
        </w:rPr>
        <w:t>free of</w:t>
      </w:r>
      <w:r w:rsidR="005F22B5" w:rsidRPr="00241C38">
        <w:rPr>
          <w:rFonts w:ascii="Times New Roman" w:hAnsi="Times New Roman"/>
          <w:bCs/>
          <w:sz w:val="24"/>
          <w:szCs w:val="24"/>
          <w:lang w:val="en-GB"/>
        </w:rPr>
        <w:t xml:space="preserve"> non-existing terminology</w:t>
      </w:r>
      <w:r w:rsidR="00265A7A" w:rsidRPr="00241C38">
        <w:rPr>
          <w:rFonts w:ascii="Times New Roman" w:hAnsi="Times New Roman"/>
          <w:bCs/>
          <w:sz w:val="24"/>
          <w:szCs w:val="24"/>
          <w:lang w:val="en-GB"/>
        </w:rPr>
        <w:t xml:space="preserve"> and/or non-existing words.</w:t>
      </w:r>
    </w:p>
    <w:p w:rsidR="00DA32F7" w:rsidRPr="00C40D49" w:rsidRDefault="00DA32F7" w:rsidP="00265A7A">
      <w:pPr>
        <w:pStyle w:val="CommentText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  <w:r w:rsidRPr="00F932D4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Specific Comments:</w:t>
      </w:r>
    </w:p>
    <w:p w:rsidR="00712310" w:rsidRDefault="00D10697" w:rsidP="00F8709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53285">
        <w:rPr>
          <w:rFonts w:ascii="Times New Roman" w:hAnsi="Times New Roman"/>
          <w:b/>
          <w:bCs/>
          <w:sz w:val="24"/>
          <w:szCs w:val="24"/>
          <w:u w:val="single"/>
        </w:rPr>
        <w:t xml:space="preserve">Article </w:t>
      </w:r>
      <w:r w:rsidR="00265A7A">
        <w:rPr>
          <w:rFonts w:ascii="Times New Roman" w:hAnsi="Times New Roman"/>
          <w:b/>
          <w:bCs/>
          <w:sz w:val="24"/>
          <w:szCs w:val="24"/>
          <w:u w:val="single"/>
        </w:rPr>
        <w:t>2</w:t>
      </w:r>
    </w:p>
    <w:p w:rsidR="008F1DBA" w:rsidRPr="00253285" w:rsidRDefault="008F1DBA" w:rsidP="00F8709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395E" w:rsidRDefault="002E404F" w:rsidP="00F87096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</w:t>
      </w:r>
      <w:r w:rsidR="00F0395E">
        <w:rPr>
          <w:rFonts w:ascii="Times New Roman" w:hAnsi="Times New Roman"/>
          <w:b/>
          <w:i/>
          <w:sz w:val="24"/>
          <w:szCs w:val="24"/>
        </w:rPr>
        <w:t>ollow</w:t>
      </w:r>
      <w:r w:rsidR="00241C3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the </w:t>
      </w:r>
      <w:r w:rsidR="00F039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395E" w:rsidRPr="006F041D">
        <w:rPr>
          <w:rFonts w:ascii="Times New Roman" w:eastAsia="Times New Roman" w:hAnsi="Times New Roman"/>
          <w:b/>
          <w:i/>
          <w:sz w:val="24"/>
          <w:szCs w:val="24"/>
        </w:rPr>
        <w:t>best practices of the regulators in th</w:t>
      </w:r>
      <w:r w:rsidR="00F0395E">
        <w:rPr>
          <w:rFonts w:ascii="Times New Roman" w:hAnsi="Times New Roman"/>
          <w:b/>
          <w:i/>
          <w:sz w:val="24"/>
          <w:szCs w:val="24"/>
        </w:rPr>
        <w:t>e South East Europe</w:t>
      </w:r>
      <w:r w:rsidR="00381DAD">
        <w:rPr>
          <w:rFonts w:ascii="Times New Roman" w:hAnsi="Times New Roman"/>
          <w:b/>
          <w:i/>
          <w:sz w:val="24"/>
          <w:szCs w:val="24"/>
        </w:rPr>
        <w:t xml:space="preserve"> region</w:t>
      </w:r>
      <w:r>
        <w:rPr>
          <w:rFonts w:ascii="Times New Roman" w:hAnsi="Times New Roman"/>
          <w:b/>
          <w:i/>
          <w:sz w:val="24"/>
          <w:szCs w:val="24"/>
        </w:rPr>
        <w:t xml:space="preserve">, including: </w:t>
      </w:r>
    </w:p>
    <w:p w:rsidR="00F0395E" w:rsidRPr="00E2303B" w:rsidRDefault="00F0395E" w:rsidP="00F87096">
      <w:pPr>
        <w:suppressAutoHyphens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57DA6" w:rsidRDefault="002E404F" w:rsidP="00F87096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R</w:t>
      </w:r>
      <w:r w:rsidR="00F0395E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>efrain from using the physical size of the territory</w:t>
      </w:r>
      <w:r w:rsidR="00F442E5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(number of municipalities)</w:t>
      </w:r>
      <w:r w:rsidR="00F0395E">
        <w:rPr>
          <w:rFonts w:ascii="Times New Roman" w:hAnsi="Times New Roman"/>
          <w:b/>
          <w:bCs/>
          <w:i/>
          <w:sz w:val="24"/>
          <w:szCs w:val="24"/>
          <w:lang w:eastAsia="en-US"/>
        </w:rPr>
        <w:t>, altitude</w:t>
      </w:r>
      <w:r w:rsidR="00F0395E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or power of transmitters as factor</w:t>
      </w: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s</w:t>
      </w:r>
      <w:r w:rsidR="00F0395E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for </w:t>
      </w:r>
      <w:r w:rsidR="00D724F7">
        <w:rPr>
          <w:rFonts w:ascii="Times New Roman" w:hAnsi="Times New Roman"/>
          <w:b/>
          <w:bCs/>
          <w:i/>
          <w:sz w:val="24"/>
          <w:szCs w:val="24"/>
          <w:lang w:eastAsia="en-US"/>
        </w:rPr>
        <w:t>calculating</w:t>
      </w:r>
      <w:r w:rsidR="00F0395E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fees</w:t>
      </w:r>
      <w:r w:rsidR="00F0395E">
        <w:rPr>
          <w:rFonts w:ascii="Times New Roman" w:hAnsi="Times New Roman"/>
          <w:b/>
          <w:bCs/>
          <w:i/>
          <w:sz w:val="24"/>
          <w:szCs w:val="24"/>
          <w:lang w:eastAsia="en-US"/>
        </w:rPr>
        <w:t>;</w:t>
      </w:r>
    </w:p>
    <w:p w:rsidR="00D57DA6" w:rsidRPr="00D57DA6" w:rsidRDefault="00D57DA6" w:rsidP="00F87096">
      <w:pPr>
        <w:pStyle w:val="ListParagraph"/>
        <w:ind w:left="360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</w:p>
    <w:p w:rsidR="00D57DA6" w:rsidRDefault="002E404F" w:rsidP="00F87096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t>C</w:t>
      </w:r>
      <w:r w:rsidR="00D57DA6">
        <w:rPr>
          <w:rFonts w:ascii="Times New Roman" w:hAnsi="Times New Roman"/>
          <w:b/>
          <w:bCs/>
          <w:i/>
          <w:sz w:val="24"/>
          <w:szCs w:val="24"/>
          <w:lang w:eastAsia="en-US"/>
        </w:rPr>
        <w:t>onsider</w:t>
      </w:r>
      <w:r w:rsidR="00D57DA6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instead the </w:t>
      </w:r>
      <w:r w:rsidR="00D57DA6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number of serviced </w:t>
      </w:r>
      <w:r w:rsidR="007D013B" w:rsidRPr="00E56B1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residents </w:t>
      </w:r>
      <w:r w:rsidR="007D013B">
        <w:rPr>
          <w:rFonts w:ascii="Times New Roman" w:hAnsi="Times New Roman"/>
          <w:b/>
          <w:bCs/>
          <w:i/>
          <w:sz w:val="24"/>
          <w:szCs w:val="24"/>
          <w:lang w:eastAsia="en-US"/>
        </w:rPr>
        <w:t>as</w:t>
      </w: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a </w:t>
      </w:r>
      <w:r w:rsidR="00D57DA6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factor for </w:t>
      </w:r>
      <w:r w:rsidR="00D724F7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the </w:t>
      </w:r>
      <w:r w:rsidR="00D57DA6">
        <w:rPr>
          <w:rFonts w:ascii="Times New Roman" w:hAnsi="Times New Roman"/>
          <w:b/>
          <w:bCs/>
          <w:i/>
          <w:sz w:val="24"/>
          <w:szCs w:val="24"/>
          <w:lang w:eastAsia="en-US"/>
        </w:rPr>
        <w:t>calculation of fees</w:t>
      </w: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.</w:t>
      </w:r>
    </w:p>
    <w:p w:rsidR="004B2DDC" w:rsidRDefault="004B2DDC" w:rsidP="00F8709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D32474" w:rsidRDefault="00F0395E" w:rsidP="00F8709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4A7B2A">
        <w:rPr>
          <w:rFonts w:ascii="Times New Roman" w:hAnsi="Times New Roman"/>
          <w:sz w:val="24"/>
          <w:szCs w:val="24"/>
        </w:rPr>
        <w:t xml:space="preserve">According to research conducted by the </w:t>
      </w:r>
      <w:r w:rsidR="00842F16">
        <w:rPr>
          <w:rFonts w:ascii="Times New Roman" w:hAnsi="Times New Roman"/>
          <w:sz w:val="24"/>
          <w:szCs w:val="24"/>
        </w:rPr>
        <w:t>OSCE</w:t>
      </w:r>
      <w:r w:rsidR="004A7B2A">
        <w:rPr>
          <w:rFonts w:ascii="Times New Roman" w:hAnsi="Times New Roman"/>
          <w:sz w:val="24"/>
          <w:szCs w:val="24"/>
        </w:rPr>
        <w:t xml:space="preserve">, </w:t>
      </w:r>
      <w:r w:rsidR="00CB5D6B" w:rsidRPr="004A7B2A">
        <w:rPr>
          <w:rFonts w:ascii="Times New Roman" w:hAnsi="Times New Roman"/>
          <w:sz w:val="24"/>
          <w:szCs w:val="24"/>
        </w:rPr>
        <w:t>none of the observed regulators</w:t>
      </w:r>
      <w:r w:rsidR="00BB59BA" w:rsidRPr="004A7B2A">
        <w:rPr>
          <w:rFonts w:ascii="Times New Roman" w:hAnsi="Times New Roman"/>
          <w:sz w:val="24"/>
          <w:szCs w:val="24"/>
        </w:rPr>
        <w:t xml:space="preserve"> in </w:t>
      </w:r>
      <w:r w:rsidR="00246289">
        <w:rPr>
          <w:rFonts w:ascii="Times New Roman" w:hAnsi="Times New Roman"/>
          <w:sz w:val="24"/>
          <w:szCs w:val="24"/>
        </w:rPr>
        <w:t>the region</w:t>
      </w:r>
      <w:r w:rsidR="00CB5D6B" w:rsidRPr="004A7B2A">
        <w:rPr>
          <w:rFonts w:ascii="Times New Roman" w:hAnsi="Times New Roman"/>
          <w:sz w:val="24"/>
          <w:szCs w:val="24"/>
        </w:rPr>
        <w:t xml:space="preserve"> </w:t>
      </w:r>
      <w:r w:rsidR="003C4B04">
        <w:rPr>
          <w:rFonts w:ascii="Times New Roman" w:hAnsi="Times New Roman"/>
          <w:sz w:val="24"/>
          <w:szCs w:val="24"/>
        </w:rPr>
        <w:t>use</w:t>
      </w:r>
      <w:r w:rsidR="00CB5D6B" w:rsidRPr="004A7B2A">
        <w:rPr>
          <w:rFonts w:ascii="Times New Roman" w:hAnsi="Times New Roman"/>
          <w:sz w:val="24"/>
          <w:szCs w:val="24"/>
        </w:rPr>
        <w:t xml:space="preserve"> the physical size of the territory</w:t>
      </w:r>
      <w:r w:rsidR="00050AF5">
        <w:rPr>
          <w:rFonts w:ascii="Times New Roman" w:hAnsi="Times New Roman"/>
          <w:sz w:val="24"/>
          <w:szCs w:val="24"/>
        </w:rPr>
        <w:t>, altitude</w:t>
      </w:r>
      <w:r w:rsidR="00CB5D6B" w:rsidRPr="004A7B2A">
        <w:rPr>
          <w:rFonts w:ascii="Times New Roman" w:hAnsi="Times New Roman"/>
          <w:sz w:val="24"/>
          <w:szCs w:val="24"/>
        </w:rPr>
        <w:t xml:space="preserve"> or the power of the transmit</w:t>
      </w:r>
      <w:r w:rsidR="00F06107">
        <w:rPr>
          <w:rFonts w:ascii="Times New Roman" w:hAnsi="Times New Roman"/>
          <w:sz w:val="24"/>
          <w:szCs w:val="24"/>
        </w:rPr>
        <w:t>ters as a factor for calculating</w:t>
      </w:r>
      <w:r w:rsidR="00CB5D6B" w:rsidRPr="004A7B2A">
        <w:rPr>
          <w:rFonts w:ascii="Times New Roman" w:hAnsi="Times New Roman"/>
          <w:sz w:val="24"/>
          <w:szCs w:val="24"/>
        </w:rPr>
        <w:t xml:space="preserve"> fees. </w:t>
      </w:r>
    </w:p>
    <w:p w:rsidR="00BE2B05" w:rsidRDefault="00BE2B05" w:rsidP="00F8709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256D0D" w:rsidRPr="00D32474" w:rsidRDefault="00C31B96" w:rsidP="00F87096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Instead, a</w:t>
      </w:r>
      <w:r w:rsidR="00CB5D6B" w:rsidRPr="004A7B2A">
        <w:rPr>
          <w:rFonts w:ascii="Times New Roman" w:hAnsi="Times New Roman"/>
          <w:sz w:val="24"/>
          <w:szCs w:val="24"/>
        </w:rPr>
        <w:t>ll of the</w:t>
      </w:r>
      <w:r w:rsidR="004A7B2A" w:rsidRPr="004A7B2A">
        <w:rPr>
          <w:rFonts w:ascii="Times New Roman" w:hAnsi="Times New Roman"/>
          <w:sz w:val="24"/>
          <w:szCs w:val="24"/>
        </w:rPr>
        <w:t xml:space="preserve"> regulators in </w:t>
      </w:r>
      <w:r w:rsidR="009D0E57">
        <w:rPr>
          <w:rFonts w:ascii="Times New Roman" w:hAnsi="Times New Roman"/>
          <w:sz w:val="24"/>
          <w:szCs w:val="24"/>
        </w:rPr>
        <w:t xml:space="preserve">the </w:t>
      </w:r>
      <w:r w:rsidR="00246289">
        <w:rPr>
          <w:rFonts w:ascii="Times New Roman" w:hAnsi="Times New Roman"/>
          <w:sz w:val="24"/>
          <w:szCs w:val="24"/>
        </w:rPr>
        <w:t>region</w:t>
      </w:r>
      <w:r w:rsidR="00CB5D6B" w:rsidRPr="004A7B2A">
        <w:rPr>
          <w:rFonts w:ascii="Times New Roman" w:hAnsi="Times New Roman"/>
          <w:sz w:val="24"/>
          <w:szCs w:val="24"/>
        </w:rPr>
        <w:t xml:space="preserve"> </w:t>
      </w:r>
      <w:r w:rsidR="008F1DBA">
        <w:rPr>
          <w:rFonts w:ascii="Times New Roman" w:hAnsi="Times New Roman"/>
          <w:sz w:val="24"/>
          <w:szCs w:val="24"/>
        </w:rPr>
        <w:t xml:space="preserve">only </w:t>
      </w:r>
      <w:r w:rsidR="00CB5D6B" w:rsidRPr="004A7B2A">
        <w:rPr>
          <w:rFonts w:ascii="Times New Roman" w:hAnsi="Times New Roman"/>
          <w:sz w:val="24"/>
          <w:szCs w:val="24"/>
        </w:rPr>
        <w:t xml:space="preserve">use </w:t>
      </w:r>
      <w:r w:rsidR="009D0E57">
        <w:rPr>
          <w:rFonts w:ascii="Times New Roman" w:hAnsi="Times New Roman"/>
          <w:sz w:val="24"/>
          <w:szCs w:val="24"/>
        </w:rPr>
        <w:t xml:space="preserve">the </w:t>
      </w:r>
      <w:r w:rsidR="00CB5D6B" w:rsidRPr="004A7B2A">
        <w:rPr>
          <w:rFonts w:ascii="Times New Roman" w:hAnsi="Times New Roman"/>
          <w:sz w:val="24"/>
          <w:szCs w:val="24"/>
        </w:rPr>
        <w:t>numbe</w:t>
      </w:r>
      <w:r w:rsidR="004A7B2A" w:rsidRPr="004A7B2A">
        <w:rPr>
          <w:rFonts w:ascii="Times New Roman" w:hAnsi="Times New Roman"/>
          <w:sz w:val="24"/>
          <w:szCs w:val="24"/>
        </w:rPr>
        <w:t>r of serviced residents</w:t>
      </w:r>
      <w:r>
        <w:rPr>
          <w:rFonts w:ascii="Times New Roman" w:hAnsi="Times New Roman"/>
          <w:sz w:val="24"/>
          <w:szCs w:val="24"/>
        </w:rPr>
        <w:t xml:space="preserve"> as the basis for </w:t>
      </w:r>
      <w:r w:rsidR="00F06107">
        <w:rPr>
          <w:rFonts w:ascii="Times New Roman" w:hAnsi="Times New Roman"/>
          <w:sz w:val="24"/>
          <w:szCs w:val="24"/>
        </w:rPr>
        <w:t>their calculations</w:t>
      </w:r>
      <w:r w:rsidR="004A7B2A" w:rsidRPr="004A7B2A">
        <w:rPr>
          <w:rFonts w:ascii="Times New Roman" w:hAnsi="Times New Roman"/>
          <w:sz w:val="24"/>
          <w:szCs w:val="24"/>
        </w:rPr>
        <w:t xml:space="preserve">. </w:t>
      </w:r>
      <w:r w:rsidR="004A7B2A" w:rsidRPr="00D32474">
        <w:rPr>
          <w:rFonts w:ascii="Times New Roman" w:hAnsi="Times New Roman"/>
          <w:sz w:val="24"/>
          <w:szCs w:val="24"/>
        </w:rPr>
        <w:t>Therefore, we suggest</w:t>
      </w:r>
      <w:r w:rsidR="003C4B04">
        <w:rPr>
          <w:rFonts w:ascii="Times New Roman" w:hAnsi="Times New Roman"/>
          <w:sz w:val="24"/>
          <w:szCs w:val="24"/>
        </w:rPr>
        <w:t xml:space="preserve"> that</w:t>
      </w:r>
      <w:r w:rsidR="004A7B2A" w:rsidRPr="00D32474">
        <w:rPr>
          <w:rFonts w:ascii="Times New Roman" w:hAnsi="Times New Roman"/>
          <w:sz w:val="24"/>
          <w:szCs w:val="24"/>
        </w:rPr>
        <w:t xml:space="preserve"> </w:t>
      </w:r>
      <w:r w:rsidR="00050AF5">
        <w:rPr>
          <w:rFonts w:ascii="Times New Roman" w:hAnsi="Times New Roman"/>
          <w:sz w:val="24"/>
          <w:szCs w:val="24"/>
        </w:rPr>
        <w:t>the drafter</w:t>
      </w:r>
      <w:r w:rsidR="004A7B2A" w:rsidRPr="00D32474">
        <w:rPr>
          <w:rFonts w:ascii="Times New Roman" w:hAnsi="Times New Roman"/>
          <w:sz w:val="24"/>
          <w:szCs w:val="24"/>
        </w:rPr>
        <w:t xml:space="preserve"> follows </w:t>
      </w:r>
      <w:r w:rsidR="0038331B">
        <w:rPr>
          <w:rFonts w:ascii="Times New Roman" w:hAnsi="Times New Roman"/>
          <w:sz w:val="24"/>
          <w:szCs w:val="24"/>
        </w:rPr>
        <w:t>the best practices in the region</w:t>
      </w:r>
      <w:r w:rsidR="004A7B2A" w:rsidRPr="00D32474">
        <w:rPr>
          <w:rFonts w:ascii="Times New Roman" w:hAnsi="Times New Roman"/>
          <w:sz w:val="24"/>
          <w:szCs w:val="24"/>
        </w:rPr>
        <w:t xml:space="preserve">. </w:t>
      </w:r>
    </w:p>
    <w:p w:rsidR="003D56E5" w:rsidRDefault="003D56E5" w:rsidP="00256D0D">
      <w:pPr>
        <w:pStyle w:val="ListParagraph"/>
        <w:autoSpaceDE w:val="0"/>
        <w:autoSpaceDN w:val="0"/>
        <w:adjustRightInd w:val="0"/>
        <w:ind w:left="360"/>
        <w:jc w:val="both"/>
      </w:pPr>
    </w:p>
    <w:p w:rsidR="00D32474" w:rsidRDefault="00D32474" w:rsidP="00D3247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474">
        <w:rPr>
          <w:rFonts w:ascii="Times New Roman" w:hAnsi="Times New Roman"/>
          <w:b/>
          <w:sz w:val="24"/>
          <w:szCs w:val="24"/>
          <w:u w:val="single"/>
        </w:rPr>
        <w:t xml:space="preserve">Article 3 </w:t>
      </w:r>
    </w:p>
    <w:p w:rsidR="0038331B" w:rsidRDefault="0038331B" w:rsidP="00D3247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F1481" w:rsidRDefault="00CF1481" w:rsidP="00CF1481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Consider applying administrative fee for licence in line with applicable legal framework on administrative taxes if such documents are existing</w:t>
      </w:r>
      <w:bookmarkStart w:id="0" w:name="_GoBack"/>
      <w:bookmarkEnd w:id="0"/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;</w:t>
      </w:r>
    </w:p>
    <w:p w:rsidR="00A66076" w:rsidRDefault="00A66076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331B" w:rsidRDefault="0019146A" w:rsidP="009371F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6C6E3F">
        <w:rPr>
          <w:rFonts w:ascii="Times New Roman" w:hAnsi="Times New Roman"/>
          <w:bCs/>
          <w:sz w:val="24"/>
          <w:szCs w:val="24"/>
        </w:rPr>
        <w:t xml:space="preserve">e suggest the drafter </w:t>
      </w:r>
      <w:r>
        <w:rPr>
          <w:rFonts w:ascii="Times New Roman" w:hAnsi="Times New Roman"/>
          <w:bCs/>
          <w:sz w:val="24"/>
          <w:szCs w:val="24"/>
        </w:rPr>
        <w:t>to use legal framework for charging administrative fees and taxes if such documents are existing.</w:t>
      </w:r>
    </w:p>
    <w:p w:rsidR="009F6D4C" w:rsidRDefault="009F6D4C" w:rsidP="009371F3">
      <w:pPr>
        <w:jc w:val="both"/>
        <w:rPr>
          <w:rFonts w:ascii="Times New Roman" w:hAnsi="Times New Roman"/>
          <w:bCs/>
          <w:sz w:val="24"/>
          <w:szCs w:val="24"/>
        </w:rPr>
      </w:pPr>
    </w:p>
    <w:p w:rsidR="009F6D4C" w:rsidRDefault="009F6D4C" w:rsidP="009371F3">
      <w:pPr>
        <w:jc w:val="both"/>
        <w:rPr>
          <w:rFonts w:ascii="Times New Roman" w:hAnsi="Times New Roman"/>
          <w:bCs/>
          <w:sz w:val="24"/>
          <w:szCs w:val="24"/>
        </w:rPr>
      </w:pPr>
    </w:p>
    <w:p w:rsidR="009646F9" w:rsidRDefault="009646F9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41AA7" w:rsidRDefault="00F87096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  <w:r w:rsidR="009F6D4C" w:rsidRPr="00641AA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Article 4</w:t>
      </w:r>
    </w:p>
    <w:p w:rsidR="009C131F" w:rsidRDefault="009C131F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C61BE" w:rsidRPr="00DC61BE" w:rsidRDefault="006514D3" w:rsidP="00F8709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R</w:t>
      </w:r>
      <w:r w:rsidR="00DC61BE" w:rsidRPr="00DC61BE">
        <w:rPr>
          <w:rFonts w:ascii="Times New Roman" w:hAnsi="Times New Roman"/>
          <w:b/>
          <w:bCs/>
          <w:i/>
          <w:sz w:val="24"/>
          <w:szCs w:val="24"/>
        </w:rPr>
        <w:t>econsider Article 4</w:t>
      </w:r>
      <w:r w:rsidR="00220253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DC61BE" w:rsidRPr="00DC61BE">
        <w:rPr>
          <w:rFonts w:ascii="Times New Roman" w:hAnsi="Times New Roman"/>
          <w:b/>
          <w:bCs/>
          <w:i/>
          <w:sz w:val="24"/>
          <w:szCs w:val="24"/>
        </w:rPr>
        <w:t>Criteria for Defining the Ye</w:t>
      </w:r>
      <w:r w:rsidR="00220253">
        <w:rPr>
          <w:rFonts w:ascii="Times New Roman" w:hAnsi="Times New Roman"/>
          <w:b/>
          <w:bCs/>
          <w:i/>
          <w:sz w:val="24"/>
          <w:szCs w:val="24"/>
        </w:rPr>
        <w:t>arly Fee</w:t>
      </w:r>
      <w:r w:rsidR="00DC61BE" w:rsidRPr="00DC61BE">
        <w:rPr>
          <w:rFonts w:ascii="Times New Roman" w:hAnsi="Times New Roman"/>
          <w:b/>
          <w:bCs/>
          <w:i/>
          <w:sz w:val="24"/>
          <w:szCs w:val="24"/>
        </w:rPr>
        <w:t>;</w:t>
      </w:r>
    </w:p>
    <w:p w:rsidR="0038331B" w:rsidRDefault="0038331B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0CD7" w:rsidRDefault="009C131F" w:rsidP="009371F3">
      <w:pPr>
        <w:jc w:val="both"/>
        <w:rPr>
          <w:rFonts w:ascii="Times New Roman" w:hAnsi="Times New Roman"/>
          <w:bCs/>
          <w:sz w:val="24"/>
          <w:szCs w:val="24"/>
        </w:rPr>
      </w:pPr>
      <w:r w:rsidRPr="006D170F">
        <w:rPr>
          <w:rFonts w:ascii="Times New Roman" w:hAnsi="Times New Roman"/>
          <w:bCs/>
          <w:sz w:val="24"/>
          <w:szCs w:val="24"/>
        </w:rPr>
        <w:t xml:space="preserve">In the paragraph </w:t>
      </w:r>
      <w:r w:rsidRPr="00B40CD7">
        <w:rPr>
          <w:rFonts w:ascii="Times New Roman" w:hAnsi="Times New Roman"/>
          <w:b/>
          <w:bCs/>
          <w:sz w:val="24"/>
          <w:szCs w:val="24"/>
        </w:rPr>
        <w:t>1 a</w:t>
      </w:r>
      <w:r w:rsidRPr="006D170F">
        <w:rPr>
          <w:rFonts w:ascii="Times New Roman" w:hAnsi="Times New Roman"/>
          <w:bCs/>
          <w:sz w:val="24"/>
          <w:szCs w:val="24"/>
        </w:rPr>
        <w:t xml:space="preserve">. </w:t>
      </w:r>
      <w:r w:rsidR="006D170F" w:rsidRPr="003720DD">
        <w:rPr>
          <w:rFonts w:ascii="Times New Roman" w:hAnsi="Times New Roman"/>
          <w:b/>
          <w:bCs/>
          <w:sz w:val="24"/>
          <w:szCs w:val="24"/>
        </w:rPr>
        <w:t>Basic D</w:t>
      </w:r>
      <w:r w:rsidR="003D585C">
        <w:rPr>
          <w:rFonts w:ascii="Times New Roman" w:hAnsi="Times New Roman"/>
          <w:b/>
          <w:bCs/>
          <w:sz w:val="24"/>
          <w:szCs w:val="24"/>
        </w:rPr>
        <w:t xml:space="preserve">efined Values for coefficient </w:t>
      </w:r>
      <w:proofErr w:type="gramStart"/>
      <w:r w:rsidR="003D585C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="004D54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546D" w:rsidRPr="00CF7BEB">
        <w:rPr>
          <w:rFonts w:ascii="Times New Roman" w:hAnsi="Times New Roman"/>
          <w:bCs/>
          <w:sz w:val="24"/>
          <w:szCs w:val="24"/>
        </w:rPr>
        <w:t>it</w:t>
      </w:r>
      <w:r w:rsidR="00B154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170F">
        <w:rPr>
          <w:rFonts w:ascii="Times New Roman" w:hAnsi="Times New Roman"/>
          <w:bCs/>
          <w:sz w:val="24"/>
          <w:szCs w:val="24"/>
        </w:rPr>
        <w:t xml:space="preserve">is </w:t>
      </w:r>
      <w:r w:rsidR="006514D3">
        <w:rPr>
          <w:rFonts w:ascii="Times New Roman" w:hAnsi="Times New Roman"/>
          <w:bCs/>
          <w:sz w:val="24"/>
          <w:szCs w:val="24"/>
        </w:rPr>
        <w:t xml:space="preserve">stated </w:t>
      </w:r>
      <w:r w:rsidRPr="006D170F">
        <w:rPr>
          <w:rFonts w:ascii="Times New Roman" w:hAnsi="Times New Roman"/>
          <w:bCs/>
          <w:sz w:val="24"/>
          <w:szCs w:val="24"/>
        </w:rPr>
        <w:t xml:space="preserve">that </w:t>
      </w:r>
      <w:r w:rsidR="006D170F" w:rsidRPr="006D170F">
        <w:rPr>
          <w:rFonts w:ascii="Times New Roman" w:hAnsi="Times New Roman"/>
          <w:bCs/>
          <w:sz w:val="24"/>
          <w:szCs w:val="24"/>
        </w:rPr>
        <w:t xml:space="preserve">these values are calculated on the basis of the overall yearly </w:t>
      </w:r>
      <w:r w:rsidR="006D170F" w:rsidRPr="00FA4C00">
        <w:rPr>
          <w:rFonts w:ascii="Times New Roman" w:hAnsi="Times New Roman"/>
          <w:b/>
          <w:bCs/>
          <w:sz w:val="24"/>
          <w:szCs w:val="24"/>
        </w:rPr>
        <w:t>budget</w:t>
      </w:r>
      <w:r w:rsidR="00122AE8" w:rsidRPr="00FA4C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170F">
        <w:rPr>
          <w:rFonts w:ascii="Times New Roman" w:hAnsi="Times New Roman"/>
          <w:bCs/>
          <w:sz w:val="24"/>
          <w:szCs w:val="24"/>
        </w:rPr>
        <w:t xml:space="preserve">of the broadcaster. </w:t>
      </w:r>
    </w:p>
    <w:p w:rsidR="0098643C" w:rsidRDefault="0098643C" w:rsidP="009371F3">
      <w:pPr>
        <w:jc w:val="both"/>
        <w:rPr>
          <w:rFonts w:ascii="Times New Roman" w:hAnsi="Times New Roman"/>
          <w:bCs/>
          <w:sz w:val="24"/>
          <w:szCs w:val="24"/>
        </w:rPr>
      </w:pPr>
    </w:p>
    <w:p w:rsidR="006514D3" w:rsidRDefault="0098643C" w:rsidP="009371F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None</w:t>
      </w:r>
      <w:r w:rsidR="006D170F" w:rsidRPr="006D170F">
        <w:rPr>
          <w:rFonts w:ascii="Times New Roman" w:hAnsi="Times New Roman"/>
          <w:bCs/>
          <w:sz w:val="24"/>
          <w:szCs w:val="24"/>
        </w:rPr>
        <w:t xml:space="preserve"> of the observed regulators in </w:t>
      </w:r>
      <w:r w:rsidR="00E16D2E">
        <w:rPr>
          <w:rFonts w:ascii="Times New Roman" w:hAnsi="Times New Roman"/>
          <w:bCs/>
          <w:sz w:val="24"/>
          <w:szCs w:val="24"/>
        </w:rPr>
        <w:t>the region</w:t>
      </w:r>
      <w:r w:rsidR="006D170F" w:rsidRPr="006D170F">
        <w:rPr>
          <w:rFonts w:ascii="Times New Roman" w:hAnsi="Times New Roman"/>
          <w:bCs/>
          <w:sz w:val="24"/>
          <w:szCs w:val="24"/>
        </w:rPr>
        <w:t xml:space="preserve"> is </w:t>
      </w:r>
      <w:r w:rsidR="002F6B56">
        <w:rPr>
          <w:rFonts w:ascii="Times New Roman" w:hAnsi="Times New Roman"/>
          <w:bCs/>
          <w:sz w:val="24"/>
          <w:szCs w:val="24"/>
        </w:rPr>
        <w:t>charge their</w:t>
      </w:r>
      <w:r w:rsidR="006D170F">
        <w:rPr>
          <w:rFonts w:ascii="Times New Roman" w:hAnsi="Times New Roman"/>
          <w:bCs/>
          <w:sz w:val="24"/>
          <w:szCs w:val="24"/>
        </w:rPr>
        <w:t xml:space="preserve"> clients on the basis of </w:t>
      </w:r>
      <w:r w:rsidR="00FA4C00">
        <w:rPr>
          <w:rFonts w:ascii="Times New Roman" w:hAnsi="Times New Roman"/>
          <w:bCs/>
          <w:sz w:val="24"/>
          <w:szCs w:val="24"/>
        </w:rPr>
        <w:t>the broadcaster</w:t>
      </w:r>
      <w:r>
        <w:rPr>
          <w:rFonts w:ascii="Times New Roman" w:hAnsi="Times New Roman"/>
          <w:bCs/>
          <w:sz w:val="24"/>
          <w:szCs w:val="24"/>
        </w:rPr>
        <w:t>’</w:t>
      </w:r>
      <w:r w:rsidR="00FA4C00">
        <w:rPr>
          <w:rFonts w:ascii="Times New Roman" w:hAnsi="Times New Roman"/>
          <w:bCs/>
          <w:sz w:val="24"/>
          <w:szCs w:val="24"/>
        </w:rPr>
        <w:t xml:space="preserve">s </w:t>
      </w:r>
      <w:r w:rsidR="00B40CD7">
        <w:rPr>
          <w:rFonts w:ascii="Times New Roman" w:hAnsi="Times New Roman"/>
          <w:bCs/>
          <w:sz w:val="24"/>
          <w:szCs w:val="24"/>
        </w:rPr>
        <w:t xml:space="preserve">yearly </w:t>
      </w:r>
      <w:r w:rsidR="006D170F" w:rsidRPr="00B40CD7">
        <w:rPr>
          <w:rFonts w:ascii="Times New Roman" w:hAnsi="Times New Roman"/>
          <w:b/>
          <w:bCs/>
          <w:sz w:val="24"/>
          <w:szCs w:val="24"/>
        </w:rPr>
        <w:t>budget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="006D170F">
        <w:rPr>
          <w:rFonts w:ascii="Times New Roman" w:hAnsi="Times New Roman"/>
          <w:bCs/>
          <w:sz w:val="24"/>
          <w:szCs w:val="24"/>
        </w:rPr>
        <w:t xml:space="preserve"> but on the basis of </w:t>
      </w:r>
      <w:r w:rsidR="00FA4C00">
        <w:rPr>
          <w:rFonts w:ascii="Times New Roman" w:hAnsi="Times New Roman"/>
          <w:bCs/>
          <w:sz w:val="24"/>
          <w:szCs w:val="24"/>
        </w:rPr>
        <w:t xml:space="preserve">the </w:t>
      </w:r>
      <w:r w:rsidR="00542A3C" w:rsidRPr="003720DD">
        <w:rPr>
          <w:rFonts w:ascii="Times New Roman" w:hAnsi="Times New Roman"/>
          <w:bCs/>
          <w:sz w:val="24"/>
          <w:szCs w:val="24"/>
        </w:rPr>
        <w:t>yearly</w:t>
      </w:r>
      <w:r w:rsidR="00122AE8">
        <w:rPr>
          <w:rFonts w:ascii="Times New Roman" w:hAnsi="Times New Roman"/>
          <w:bCs/>
          <w:sz w:val="24"/>
          <w:szCs w:val="24"/>
        </w:rPr>
        <w:t xml:space="preserve"> </w:t>
      </w:r>
      <w:r w:rsidR="00F8467C" w:rsidRPr="00FA4C00">
        <w:rPr>
          <w:rFonts w:ascii="Times New Roman" w:hAnsi="Times New Roman"/>
          <w:b/>
          <w:bCs/>
          <w:sz w:val="24"/>
          <w:szCs w:val="24"/>
        </w:rPr>
        <w:t>income</w:t>
      </w:r>
      <w:r w:rsidR="00791FE5" w:rsidRPr="00FA4C00">
        <w:rPr>
          <w:rFonts w:ascii="Times New Roman" w:hAnsi="Times New Roman"/>
          <w:b/>
          <w:bCs/>
          <w:sz w:val="24"/>
          <w:szCs w:val="24"/>
        </w:rPr>
        <w:t xml:space="preserve"> of the broadcaster</w:t>
      </w:r>
      <w:r w:rsidR="00542A3C">
        <w:rPr>
          <w:rFonts w:ascii="Times New Roman" w:hAnsi="Times New Roman"/>
          <w:bCs/>
          <w:sz w:val="24"/>
          <w:szCs w:val="24"/>
        </w:rPr>
        <w:t>. Therefore</w:t>
      </w:r>
      <w:r w:rsidR="00B40CD7">
        <w:rPr>
          <w:rFonts w:ascii="Times New Roman" w:hAnsi="Times New Roman"/>
          <w:bCs/>
          <w:sz w:val="24"/>
          <w:szCs w:val="24"/>
        </w:rPr>
        <w:t>,</w:t>
      </w:r>
      <w:r w:rsidR="00542A3C">
        <w:rPr>
          <w:rFonts w:ascii="Times New Roman" w:hAnsi="Times New Roman"/>
          <w:bCs/>
          <w:sz w:val="24"/>
          <w:szCs w:val="24"/>
        </w:rPr>
        <w:t xml:space="preserve"> we suggest </w:t>
      </w:r>
      <w:r w:rsidR="00E93374">
        <w:rPr>
          <w:rFonts w:ascii="Times New Roman" w:hAnsi="Times New Roman"/>
          <w:bCs/>
          <w:sz w:val="24"/>
          <w:szCs w:val="24"/>
        </w:rPr>
        <w:t xml:space="preserve">that </w:t>
      </w:r>
      <w:r w:rsidR="00542A3C">
        <w:rPr>
          <w:rFonts w:ascii="Times New Roman" w:hAnsi="Times New Roman"/>
          <w:bCs/>
          <w:sz w:val="24"/>
          <w:szCs w:val="24"/>
        </w:rPr>
        <w:t xml:space="preserve">the drafter reconsider this paragraph and change </w:t>
      </w:r>
      <w:r w:rsidR="003720DD">
        <w:rPr>
          <w:rFonts w:ascii="Times New Roman" w:hAnsi="Times New Roman"/>
          <w:bCs/>
          <w:sz w:val="24"/>
          <w:szCs w:val="24"/>
        </w:rPr>
        <w:t xml:space="preserve">the way </w:t>
      </w:r>
      <w:r w:rsidR="00542A3C" w:rsidRPr="00842F16">
        <w:rPr>
          <w:rFonts w:ascii="Times New Roman" w:hAnsi="Times New Roman"/>
          <w:b/>
          <w:bCs/>
          <w:sz w:val="24"/>
          <w:szCs w:val="24"/>
        </w:rPr>
        <w:t>coefficient</w:t>
      </w:r>
      <w:r w:rsidR="00542A3C">
        <w:rPr>
          <w:rFonts w:ascii="Times New Roman" w:hAnsi="Times New Roman"/>
          <w:bCs/>
          <w:sz w:val="24"/>
          <w:szCs w:val="24"/>
        </w:rPr>
        <w:t xml:space="preserve"> </w:t>
      </w:r>
      <w:r w:rsidR="00542A3C" w:rsidRPr="003720DD">
        <w:rPr>
          <w:rFonts w:ascii="Times New Roman" w:hAnsi="Times New Roman"/>
          <w:b/>
          <w:bCs/>
          <w:sz w:val="24"/>
          <w:szCs w:val="24"/>
        </w:rPr>
        <w:t>A</w:t>
      </w:r>
      <w:r w:rsidR="00542A3C">
        <w:rPr>
          <w:rFonts w:ascii="Times New Roman" w:hAnsi="Times New Roman"/>
          <w:bCs/>
          <w:sz w:val="24"/>
          <w:szCs w:val="24"/>
        </w:rPr>
        <w:t xml:space="preserve"> is calculated.</w:t>
      </w:r>
      <w:r w:rsidR="00E93374">
        <w:rPr>
          <w:rFonts w:ascii="Times New Roman" w:hAnsi="Times New Roman"/>
          <w:bCs/>
          <w:sz w:val="24"/>
          <w:szCs w:val="24"/>
        </w:rPr>
        <w:t xml:space="preserve"> </w:t>
      </w:r>
    </w:p>
    <w:p w:rsidR="006514D3" w:rsidRDefault="006514D3" w:rsidP="009371F3">
      <w:pPr>
        <w:jc w:val="both"/>
        <w:rPr>
          <w:rFonts w:ascii="Times New Roman" w:hAnsi="Times New Roman"/>
          <w:bCs/>
          <w:sz w:val="24"/>
          <w:szCs w:val="24"/>
        </w:rPr>
      </w:pPr>
    </w:p>
    <w:p w:rsidR="00B40CD7" w:rsidRPr="009646F9" w:rsidRDefault="00B40CD7" w:rsidP="009371F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the </w:t>
      </w:r>
      <w:r w:rsidRPr="00842F16">
        <w:rPr>
          <w:rFonts w:ascii="Times New Roman" w:hAnsi="Times New Roman"/>
          <w:b/>
          <w:bCs/>
          <w:sz w:val="24"/>
          <w:szCs w:val="24"/>
        </w:rPr>
        <w:t>paragraph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C115F">
        <w:rPr>
          <w:rFonts w:ascii="Times New Roman" w:hAnsi="Times New Roman"/>
          <w:b/>
          <w:bCs/>
          <w:sz w:val="24"/>
          <w:szCs w:val="24"/>
        </w:rPr>
        <w:t>2</w:t>
      </w:r>
      <w:r w:rsidR="00E16D2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of </w:t>
      </w:r>
      <w:r w:rsidRPr="001C115F">
        <w:rPr>
          <w:rFonts w:ascii="Times New Roman" w:hAnsi="Times New Roman"/>
          <w:b/>
          <w:bCs/>
          <w:sz w:val="24"/>
          <w:szCs w:val="24"/>
        </w:rPr>
        <w:t>Article 4</w:t>
      </w:r>
      <w:r w:rsidR="003D585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6514D3">
        <w:rPr>
          <w:rFonts w:ascii="Times New Roman" w:hAnsi="Times New Roman"/>
          <w:bCs/>
          <w:sz w:val="24"/>
          <w:szCs w:val="24"/>
        </w:rPr>
        <w:t xml:space="preserve">the </w:t>
      </w:r>
      <w:r w:rsidR="00895A67">
        <w:rPr>
          <w:rFonts w:ascii="Times New Roman" w:hAnsi="Times New Roman"/>
          <w:b/>
          <w:bCs/>
          <w:sz w:val="24"/>
          <w:szCs w:val="24"/>
        </w:rPr>
        <w:t>c</w:t>
      </w:r>
      <w:r w:rsidR="00895A67" w:rsidRPr="006B765E">
        <w:rPr>
          <w:rFonts w:ascii="Times New Roman" w:hAnsi="Times New Roman"/>
          <w:b/>
          <w:bCs/>
          <w:sz w:val="24"/>
          <w:szCs w:val="24"/>
        </w:rPr>
        <w:t xml:space="preserve">riteria </w:t>
      </w:r>
      <w:r w:rsidR="00895A67">
        <w:rPr>
          <w:rFonts w:ascii="Times New Roman" w:hAnsi="Times New Roman"/>
          <w:b/>
          <w:bCs/>
          <w:sz w:val="24"/>
          <w:szCs w:val="24"/>
        </w:rPr>
        <w:t>for</w:t>
      </w:r>
      <w:r w:rsidR="00895A67" w:rsidRPr="006B765E">
        <w:rPr>
          <w:rFonts w:ascii="Times New Roman" w:hAnsi="Times New Roman"/>
          <w:b/>
          <w:bCs/>
          <w:sz w:val="24"/>
          <w:szCs w:val="24"/>
        </w:rPr>
        <w:t xml:space="preserve"> defining the yearly fee for network operators </w:t>
      </w:r>
      <w:r w:rsidR="00895A67" w:rsidRPr="00895A67">
        <w:rPr>
          <w:rFonts w:ascii="Times New Roman" w:hAnsi="Times New Roman"/>
          <w:bCs/>
          <w:sz w:val="24"/>
          <w:szCs w:val="24"/>
        </w:rPr>
        <w:t>are</w:t>
      </w:r>
      <w:r w:rsidR="001C115F" w:rsidRPr="00895A67">
        <w:rPr>
          <w:rFonts w:ascii="Times New Roman" w:hAnsi="Times New Roman"/>
          <w:bCs/>
          <w:sz w:val="24"/>
          <w:szCs w:val="24"/>
        </w:rPr>
        <w:t xml:space="preserve"> defined on the basis of</w:t>
      </w:r>
      <w:r w:rsidR="001C115F" w:rsidRPr="006B765E">
        <w:rPr>
          <w:rFonts w:ascii="Times New Roman" w:hAnsi="Times New Roman"/>
          <w:b/>
          <w:bCs/>
          <w:sz w:val="24"/>
          <w:szCs w:val="24"/>
        </w:rPr>
        <w:t>:</w:t>
      </w:r>
    </w:p>
    <w:p w:rsidR="001C115F" w:rsidRPr="006B765E" w:rsidRDefault="001C115F" w:rsidP="009371F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115F" w:rsidRPr="00A204BB" w:rsidRDefault="001C115F" w:rsidP="001C11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204BB">
        <w:rPr>
          <w:rFonts w:ascii="Times New Roman" w:hAnsi="Times New Roman"/>
          <w:bCs/>
          <w:sz w:val="24"/>
          <w:szCs w:val="24"/>
        </w:rPr>
        <w:t>Number of residents (A);</w:t>
      </w:r>
    </w:p>
    <w:p w:rsidR="001C115F" w:rsidRPr="00A204BB" w:rsidRDefault="001C115F" w:rsidP="001C11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204BB">
        <w:rPr>
          <w:rFonts w:ascii="Times New Roman" w:hAnsi="Times New Roman"/>
          <w:bCs/>
          <w:sz w:val="24"/>
          <w:szCs w:val="24"/>
        </w:rPr>
        <w:t xml:space="preserve">Number of </w:t>
      </w:r>
      <w:r w:rsidRPr="00895A67">
        <w:rPr>
          <w:rFonts w:ascii="Times New Roman" w:hAnsi="Times New Roman"/>
          <w:bCs/>
          <w:sz w:val="24"/>
          <w:szCs w:val="24"/>
        </w:rPr>
        <w:t>potential</w:t>
      </w:r>
      <w:r w:rsidRPr="00A204BB">
        <w:rPr>
          <w:rFonts w:ascii="Times New Roman" w:hAnsi="Times New Roman"/>
          <w:bCs/>
          <w:sz w:val="24"/>
          <w:szCs w:val="24"/>
        </w:rPr>
        <w:t xml:space="preserve"> subscribers (B);</w:t>
      </w:r>
    </w:p>
    <w:p w:rsidR="001C115F" w:rsidRPr="00A204BB" w:rsidRDefault="001C115F" w:rsidP="001C11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204BB">
        <w:rPr>
          <w:rFonts w:ascii="Times New Roman" w:hAnsi="Times New Roman"/>
          <w:bCs/>
          <w:sz w:val="24"/>
          <w:szCs w:val="24"/>
        </w:rPr>
        <w:t>Proportion of the market (C);</w:t>
      </w:r>
    </w:p>
    <w:p w:rsidR="001C115F" w:rsidRPr="00A204BB" w:rsidRDefault="001C115F" w:rsidP="001C11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204BB">
        <w:rPr>
          <w:rFonts w:ascii="Times New Roman" w:hAnsi="Times New Roman"/>
          <w:bCs/>
          <w:sz w:val="24"/>
          <w:szCs w:val="24"/>
        </w:rPr>
        <w:t>Average subscription fee (D);</w:t>
      </w:r>
    </w:p>
    <w:p w:rsidR="001C115F" w:rsidRPr="00A204BB" w:rsidRDefault="001C115F" w:rsidP="001C115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A204BB">
        <w:rPr>
          <w:rFonts w:ascii="Times New Roman" w:hAnsi="Times New Roman"/>
          <w:bCs/>
          <w:sz w:val="24"/>
          <w:szCs w:val="24"/>
        </w:rPr>
        <w:t xml:space="preserve">Percentage of the overall </w:t>
      </w:r>
      <w:r w:rsidRPr="00895A67">
        <w:rPr>
          <w:rFonts w:ascii="Times New Roman" w:hAnsi="Times New Roman"/>
          <w:bCs/>
          <w:sz w:val="24"/>
          <w:szCs w:val="24"/>
        </w:rPr>
        <w:t>budget</w:t>
      </w:r>
      <w:r w:rsidR="006B765E" w:rsidRPr="00A204BB">
        <w:rPr>
          <w:rFonts w:ascii="Times New Roman" w:hAnsi="Times New Roman"/>
          <w:bCs/>
          <w:sz w:val="24"/>
          <w:szCs w:val="24"/>
        </w:rPr>
        <w:t xml:space="preserve"> (E).</w:t>
      </w:r>
    </w:p>
    <w:p w:rsidR="0038331B" w:rsidRDefault="0038331B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B765E" w:rsidRPr="00F57322" w:rsidRDefault="006514D3" w:rsidP="009371F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Instead, w</w:t>
      </w:r>
      <w:r w:rsidR="006B765E" w:rsidRPr="006B765E">
        <w:rPr>
          <w:rFonts w:ascii="Times New Roman" w:hAnsi="Times New Roman"/>
          <w:bCs/>
          <w:sz w:val="24"/>
          <w:szCs w:val="24"/>
        </w:rPr>
        <w:t xml:space="preserve">e suggest </w:t>
      </w:r>
      <w:r w:rsidR="00A204BB">
        <w:rPr>
          <w:rFonts w:ascii="Times New Roman" w:hAnsi="Times New Roman"/>
          <w:bCs/>
          <w:sz w:val="24"/>
          <w:szCs w:val="24"/>
        </w:rPr>
        <w:t xml:space="preserve">that </w:t>
      </w:r>
      <w:r w:rsidR="006B765E" w:rsidRPr="006B765E">
        <w:rPr>
          <w:rFonts w:ascii="Times New Roman" w:hAnsi="Times New Roman"/>
          <w:bCs/>
          <w:sz w:val="24"/>
          <w:szCs w:val="24"/>
        </w:rPr>
        <w:t xml:space="preserve">the </w:t>
      </w:r>
      <w:r w:rsidR="00852462" w:rsidRPr="00FA4C00">
        <w:rPr>
          <w:rFonts w:ascii="Times New Roman" w:hAnsi="Times New Roman"/>
          <w:b/>
          <w:bCs/>
          <w:sz w:val="24"/>
          <w:szCs w:val="24"/>
        </w:rPr>
        <w:t>number of</w:t>
      </w:r>
      <w:r w:rsidR="00A204BB" w:rsidRPr="00FA4C00">
        <w:rPr>
          <w:rFonts w:ascii="Times New Roman" w:hAnsi="Times New Roman"/>
          <w:b/>
          <w:bCs/>
          <w:sz w:val="24"/>
          <w:szCs w:val="24"/>
        </w:rPr>
        <w:t xml:space="preserve"> programs</w:t>
      </w:r>
      <w:r w:rsidR="00A204BB" w:rsidRPr="006B765E">
        <w:rPr>
          <w:rFonts w:ascii="Times New Roman" w:hAnsi="Times New Roman"/>
          <w:bCs/>
          <w:sz w:val="24"/>
          <w:szCs w:val="24"/>
        </w:rPr>
        <w:t xml:space="preserve"> </w:t>
      </w:r>
      <w:r w:rsidR="009B0EE1">
        <w:rPr>
          <w:rFonts w:ascii="Times New Roman" w:hAnsi="Times New Roman"/>
          <w:bCs/>
          <w:sz w:val="24"/>
          <w:szCs w:val="24"/>
        </w:rPr>
        <w:t xml:space="preserve">transmitted to the clients by the </w:t>
      </w:r>
      <w:r w:rsidR="00A204BB" w:rsidRPr="006B765E">
        <w:rPr>
          <w:rFonts w:ascii="Times New Roman" w:hAnsi="Times New Roman"/>
          <w:bCs/>
          <w:sz w:val="24"/>
          <w:szCs w:val="24"/>
        </w:rPr>
        <w:t xml:space="preserve">network operator </w:t>
      </w:r>
      <w:r w:rsidR="00A204BB">
        <w:rPr>
          <w:rFonts w:ascii="Times New Roman" w:hAnsi="Times New Roman"/>
          <w:bCs/>
          <w:sz w:val="24"/>
          <w:szCs w:val="24"/>
        </w:rPr>
        <w:t xml:space="preserve">is </w:t>
      </w:r>
      <w:r w:rsidR="006B765E" w:rsidRPr="006B765E">
        <w:rPr>
          <w:rFonts w:ascii="Times New Roman" w:hAnsi="Times New Roman"/>
          <w:bCs/>
          <w:sz w:val="24"/>
          <w:szCs w:val="24"/>
        </w:rPr>
        <w:t xml:space="preserve">also </w:t>
      </w:r>
      <w:r w:rsidR="006B765E" w:rsidRPr="00050AF5">
        <w:rPr>
          <w:rFonts w:ascii="Times New Roman" w:hAnsi="Times New Roman"/>
          <w:b/>
          <w:bCs/>
          <w:sz w:val="24"/>
          <w:szCs w:val="24"/>
        </w:rPr>
        <w:t>consider</w:t>
      </w:r>
      <w:r w:rsidR="00A204BB" w:rsidRPr="00050AF5">
        <w:rPr>
          <w:rFonts w:ascii="Times New Roman" w:hAnsi="Times New Roman"/>
          <w:b/>
          <w:bCs/>
          <w:sz w:val="24"/>
          <w:szCs w:val="24"/>
        </w:rPr>
        <w:t>ed</w:t>
      </w:r>
      <w:r w:rsidR="006B765E" w:rsidRPr="00050AF5">
        <w:rPr>
          <w:rFonts w:ascii="Times New Roman" w:hAnsi="Times New Roman"/>
          <w:b/>
          <w:bCs/>
          <w:sz w:val="24"/>
          <w:szCs w:val="24"/>
        </w:rPr>
        <w:t xml:space="preserve"> as </w:t>
      </w:r>
      <w:r w:rsidR="006C212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6B765E" w:rsidRPr="00050AF5">
        <w:rPr>
          <w:rFonts w:ascii="Times New Roman" w:hAnsi="Times New Roman"/>
          <w:b/>
          <w:bCs/>
          <w:sz w:val="24"/>
          <w:szCs w:val="24"/>
        </w:rPr>
        <w:t>fa</w:t>
      </w:r>
      <w:r w:rsidR="00A204BB" w:rsidRPr="00050AF5">
        <w:rPr>
          <w:rFonts w:ascii="Times New Roman" w:hAnsi="Times New Roman"/>
          <w:b/>
          <w:bCs/>
          <w:sz w:val="24"/>
          <w:szCs w:val="24"/>
        </w:rPr>
        <w:t>ctor for</w:t>
      </w:r>
      <w:r w:rsidR="006C2129">
        <w:rPr>
          <w:rFonts w:ascii="Times New Roman" w:hAnsi="Times New Roman"/>
          <w:b/>
          <w:bCs/>
          <w:sz w:val="24"/>
          <w:szCs w:val="24"/>
        </w:rPr>
        <w:t xml:space="preserve"> the</w:t>
      </w:r>
      <w:r w:rsidR="00A204BB" w:rsidRPr="00050AF5">
        <w:rPr>
          <w:rFonts w:ascii="Times New Roman" w:hAnsi="Times New Roman"/>
          <w:b/>
          <w:bCs/>
          <w:sz w:val="24"/>
          <w:szCs w:val="24"/>
        </w:rPr>
        <w:t xml:space="preserve"> calculation of the fee.</w:t>
      </w:r>
      <w:r w:rsidR="004F3E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52462">
        <w:rPr>
          <w:rFonts w:ascii="Times New Roman" w:hAnsi="Times New Roman"/>
          <w:bCs/>
          <w:sz w:val="24"/>
          <w:szCs w:val="24"/>
        </w:rPr>
        <w:t xml:space="preserve">We also suggest that </w:t>
      </w:r>
      <w:r w:rsidR="00E16D2E">
        <w:rPr>
          <w:rFonts w:ascii="Times New Roman" w:hAnsi="Times New Roman"/>
          <w:bCs/>
          <w:sz w:val="24"/>
          <w:szCs w:val="24"/>
        </w:rPr>
        <w:t xml:space="preserve">the </w:t>
      </w:r>
      <w:r w:rsidR="00852462">
        <w:rPr>
          <w:rFonts w:ascii="Times New Roman" w:hAnsi="Times New Roman"/>
          <w:bCs/>
          <w:sz w:val="24"/>
          <w:szCs w:val="24"/>
        </w:rPr>
        <w:t xml:space="preserve">fee should be calculated on the basis of </w:t>
      </w:r>
      <w:r w:rsidR="00F05FAA">
        <w:rPr>
          <w:rFonts w:ascii="Times New Roman" w:hAnsi="Times New Roman"/>
          <w:bCs/>
          <w:sz w:val="24"/>
          <w:szCs w:val="24"/>
        </w:rPr>
        <w:t xml:space="preserve">the </w:t>
      </w:r>
      <w:r w:rsidR="00852462" w:rsidRPr="00050AF5">
        <w:rPr>
          <w:rFonts w:ascii="Times New Roman" w:hAnsi="Times New Roman"/>
          <w:b/>
          <w:bCs/>
          <w:sz w:val="24"/>
          <w:szCs w:val="24"/>
        </w:rPr>
        <w:t>number</w:t>
      </w:r>
      <w:r w:rsidR="00852462">
        <w:rPr>
          <w:rFonts w:ascii="Times New Roman" w:hAnsi="Times New Roman"/>
          <w:bCs/>
          <w:sz w:val="24"/>
          <w:szCs w:val="24"/>
        </w:rPr>
        <w:t xml:space="preserve"> of subscribers </w:t>
      </w:r>
      <w:r w:rsidR="009B0EE1">
        <w:rPr>
          <w:rFonts w:ascii="Times New Roman" w:hAnsi="Times New Roman"/>
          <w:bCs/>
          <w:sz w:val="24"/>
          <w:szCs w:val="24"/>
        </w:rPr>
        <w:t xml:space="preserve">and </w:t>
      </w:r>
      <w:r w:rsidR="00852462">
        <w:rPr>
          <w:rFonts w:ascii="Times New Roman" w:hAnsi="Times New Roman"/>
          <w:bCs/>
          <w:sz w:val="24"/>
          <w:szCs w:val="24"/>
        </w:rPr>
        <w:t xml:space="preserve">not on the basis of </w:t>
      </w:r>
      <w:r w:rsidR="00852462" w:rsidRPr="00852462">
        <w:rPr>
          <w:rFonts w:ascii="Times New Roman" w:hAnsi="Times New Roman"/>
          <w:b/>
          <w:bCs/>
          <w:sz w:val="24"/>
          <w:szCs w:val="24"/>
        </w:rPr>
        <w:t>potential</w:t>
      </w:r>
      <w:r w:rsidR="00852462">
        <w:rPr>
          <w:rFonts w:ascii="Times New Roman" w:hAnsi="Times New Roman"/>
          <w:bCs/>
          <w:sz w:val="24"/>
          <w:szCs w:val="24"/>
        </w:rPr>
        <w:t xml:space="preserve"> subscribers.</w:t>
      </w:r>
      <w:r w:rsidR="004F3E8F">
        <w:rPr>
          <w:rFonts w:ascii="Times New Roman" w:hAnsi="Times New Roman"/>
          <w:bCs/>
          <w:sz w:val="24"/>
          <w:szCs w:val="24"/>
        </w:rPr>
        <w:t xml:space="preserve"> </w:t>
      </w:r>
      <w:r w:rsidR="009B0EE1">
        <w:rPr>
          <w:rFonts w:ascii="Times New Roman" w:hAnsi="Times New Roman"/>
          <w:bCs/>
          <w:sz w:val="24"/>
          <w:szCs w:val="24"/>
        </w:rPr>
        <w:t>The n</w:t>
      </w:r>
      <w:r w:rsidR="004F3E8F">
        <w:rPr>
          <w:rFonts w:ascii="Times New Roman" w:hAnsi="Times New Roman"/>
          <w:bCs/>
          <w:sz w:val="24"/>
          <w:szCs w:val="24"/>
        </w:rPr>
        <w:t>umber of resident</w:t>
      </w:r>
      <w:r w:rsidR="00E23561">
        <w:rPr>
          <w:rFonts w:ascii="Times New Roman" w:hAnsi="Times New Roman"/>
          <w:bCs/>
          <w:sz w:val="24"/>
          <w:szCs w:val="24"/>
        </w:rPr>
        <w:t>s</w:t>
      </w:r>
      <w:r w:rsidR="004F3E8F">
        <w:rPr>
          <w:rFonts w:ascii="Times New Roman" w:hAnsi="Times New Roman"/>
          <w:bCs/>
          <w:sz w:val="24"/>
          <w:szCs w:val="24"/>
        </w:rPr>
        <w:t xml:space="preserve"> cannot be part of the formula for calculating the fee for network operators as not all of the residents are actually subscribers at the same time. </w:t>
      </w:r>
      <w:r w:rsidR="009B0EE1">
        <w:rPr>
          <w:rFonts w:ascii="Times New Roman" w:hAnsi="Times New Roman"/>
          <w:bCs/>
          <w:sz w:val="24"/>
          <w:szCs w:val="24"/>
        </w:rPr>
        <w:t xml:space="preserve">And finally, as suggested under </w:t>
      </w:r>
      <w:r w:rsidR="00A204BB" w:rsidRPr="00842F16">
        <w:rPr>
          <w:rFonts w:ascii="Times New Roman" w:hAnsi="Times New Roman"/>
          <w:b/>
          <w:bCs/>
          <w:sz w:val="24"/>
          <w:szCs w:val="24"/>
        </w:rPr>
        <w:t>paragraph</w:t>
      </w:r>
      <w:r w:rsidR="00842F16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9B0EE1">
        <w:rPr>
          <w:rFonts w:ascii="Times New Roman" w:hAnsi="Times New Roman"/>
          <w:b/>
          <w:bCs/>
          <w:sz w:val="24"/>
          <w:szCs w:val="24"/>
        </w:rPr>
        <w:t xml:space="preserve"> above</w:t>
      </w:r>
      <w:r w:rsidR="00A204BB">
        <w:rPr>
          <w:rFonts w:ascii="Times New Roman" w:hAnsi="Times New Roman"/>
          <w:bCs/>
          <w:sz w:val="24"/>
          <w:szCs w:val="24"/>
        </w:rPr>
        <w:t xml:space="preserve">, </w:t>
      </w:r>
      <w:r w:rsidR="009B0EE1">
        <w:rPr>
          <w:rFonts w:ascii="Times New Roman" w:hAnsi="Times New Roman"/>
          <w:bCs/>
          <w:sz w:val="24"/>
          <w:szCs w:val="24"/>
        </w:rPr>
        <w:t>instead of the percentage of the overall budget (</w:t>
      </w:r>
      <w:r w:rsidR="00A204BB" w:rsidRPr="00852462">
        <w:rPr>
          <w:rFonts w:ascii="Times New Roman" w:hAnsi="Times New Roman"/>
          <w:b/>
          <w:bCs/>
          <w:sz w:val="24"/>
          <w:szCs w:val="24"/>
        </w:rPr>
        <w:t>coefficient E</w:t>
      </w:r>
      <w:r w:rsidR="009B0EE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B412D3">
        <w:rPr>
          <w:rFonts w:ascii="Times New Roman" w:hAnsi="Times New Roman"/>
          <w:bCs/>
          <w:sz w:val="24"/>
          <w:szCs w:val="24"/>
        </w:rPr>
        <w:t>consider</w:t>
      </w:r>
      <w:r w:rsidR="00852462" w:rsidRPr="00F573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EE1" w:rsidRPr="00F57322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F8467C" w:rsidRPr="00F57322">
        <w:rPr>
          <w:rFonts w:ascii="Times New Roman" w:hAnsi="Times New Roman"/>
          <w:b/>
          <w:bCs/>
          <w:sz w:val="24"/>
          <w:szCs w:val="24"/>
        </w:rPr>
        <w:t>income</w:t>
      </w:r>
      <w:r w:rsidR="00A73AC2" w:rsidRPr="00F57322">
        <w:rPr>
          <w:rFonts w:ascii="Times New Roman" w:hAnsi="Times New Roman"/>
          <w:bCs/>
          <w:sz w:val="24"/>
          <w:szCs w:val="24"/>
        </w:rPr>
        <w:t xml:space="preserve"> </w:t>
      </w:r>
      <w:r w:rsidR="009B0EE1" w:rsidRPr="00F57322">
        <w:rPr>
          <w:rFonts w:ascii="Times New Roman" w:hAnsi="Times New Roman"/>
          <w:bCs/>
          <w:sz w:val="24"/>
          <w:szCs w:val="24"/>
        </w:rPr>
        <w:t xml:space="preserve">as the basis for </w:t>
      </w:r>
      <w:r w:rsidR="00A73AC2" w:rsidRPr="00F57322">
        <w:rPr>
          <w:rFonts w:ascii="Times New Roman" w:hAnsi="Times New Roman"/>
          <w:bCs/>
          <w:sz w:val="24"/>
          <w:szCs w:val="24"/>
        </w:rPr>
        <w:t>calculating the fee</w:t>
      </w:r>
      <w:r w:rsidR="009B0EE1" w:rsidRPr="00F57322">
        <w:rPr>
          <w:rFonts w:ascii="Times New Roman" w:hAnsi="Times New Roman"/>
          <w:bCs/>
          <w:sz w:val="24"/>
          <w:szCs w:val="24"/>
        </w:rPr>
        <w:t>.</w:t>
      </w:r>
    </w:p>
    <w:p w:rsidR="00F8467C" w:rsidRDefault="00F8467C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720DD" w:rsidRDefault="002758E5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Article 6</w:t>
      </w:r>
    </w:p>
    <w:p w:rsidR="002758E5" w:rsidRDefault="002758E5" w:rsidP="009371F3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D013B" w:rsidRDefault="00FB394B" w:rsidP="0031395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en-US"/>
        </w:rPr>
        <w:t>Revise</w:t>
      </w:r>
      <w:r w:rsidR="002758E5" w:rsidRPr="003F2AF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Article 6</w:t>
      </w:r>
      <w:r w:rsidR="00350004" w:rsidRPr="003F2AF0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  <w:r w:rsidR="003F2AF0" w:rsidRPr="003F2AF0">
        <w:rPr>
          <w:rFonts w:ascii="Times New Roman" w:hAnsi="Times New Roman"/>
          <w:b/>
          <w:bCs/>
          <w:i/>
          <w:sz w:val="24"/>
          <w:szCs w:val="24"/>
          <w:lang w:eastAsia="en-US"/>
        </w:rPr>
        <w:t>to allow clients to pay fees in instalments</w:t>
      </w:r>
      <w:r w:rsidR="00064A29">
        <w:rPr>
          <w:rFonts w:ascii="Times New Roman" w:hAnsi="Times New Roman"/>
          <w:b/>
          <w:bCs/>
          <w:i/>
          <w:sz w:val="24"/>
          <w:szCs w:val="24"/>
          <w:lang w:eastAsia="en-US"/>
        </w:rPr>
        <w:t>.</w:t>
      </w:r>
      <w:r w:rsidR="003F2AF0" w:rsidRPr="00DB44A3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</w:t>
      </w:r>
    </w:p>
    <w:p w:rsidR="007D013B" w:rsidRDefault="007D013B" w:rsidP="007D013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</w:p>
    <w:p w:rsidR="00867F19" w:rsidRDefault="00EE66DE" w:rsidP="007D013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</w:t>
      </w:r>
      <w:r w:rsidR="003B4E0C">
        <w:rPr>
          <w:rFonts w:ascii="Times New Roman" w:hAnsi="Times New Roman"/>
          <w:bCs/>
          <w:sz w:val="24"/>
          <w:szCs w:val="24"/>
        </w:rPr>
        <w:t xml:space="preserve"> </w:t>
      </w:r>
      <w:r w:rsidR="00F8467C" w:rsidRPr="00F8467C">
        <w:rPr>
          <w:rFonts w:ascii="Times New Roman" w:hAnsi="Times New Roman"/>
          <w:bCs/>
          <w:sz w:val="24"/>
          <w:szCs w:val="24"/>
        </w:rPr>
        <w:t xml:space="preserve">majority of the broadcasting regulatory agencies </w:t>
      </w:r>
      <w:r w:rsidR="00867F19" w:rsidRPr="00867F19">
        <w:rPr>
          <w:rFonts w:ascii="Times New Roman" w:hAnsi="Times New Roman"/>
          <w:bCs/>
          <w:sz w:val="24"/>
          <w:szCs w:val="24"/>
        </w:rPr>
        <w:t xml:space="preserve">in </w:t>
      </w:r>
      <w:r w:rsidR="00E16D2E">
        <w:rPr>
          <w:rFonts w:ascii="Times New Roman" w:hAnsi="Times New Roman"/>
          <w:bCs/>
          <w:sz w:val="24"/>
          <w:szCs w:val="24"/>
        </w:rPr>
        <w:t>the region</w:t>
      </w:r>
      <w:r w:rsidR="004F3E8F">
        <w:rPr>
          <w:rFonts w:ascii="Times New Roman" w:hAnsi="Times New Roman"/>
          <w:bCs/>
          <w:sz w:val="24"/>
          <w:szCs w:val="24"/>
        </w:rPr>
        <w:t xml:space="preserve"> </w:t>
      </w:r>
      <w:r w:rsidR="00F8467C" w:rsidRPr="00F8467C">
        <w:rPr>
          <w:rFonts w:ascii="Times New Roman" w:hAnsi="Times New Roman"/>
          <w:bCs/>
          <w:sz w:val="24"/>
          <w:szCs w:val="24"/>
        </w:rPr>
        <w:t xml:space="preserve">allow </w:t>
      </w:r>
      <w:r w:rsidR="002F6B56">
        <w:rPr>
          <w:rFonts w:ascii="Times New Roman" w:hAnsi="Times New Roman"/>
          <w:bCs/>
          <w:sz w:val="24"/>
          <w:szCs w:val="24"/>
        </w:rPr>
        <w:t>their</w:t>
      </w:r>
      <w:r w:rsidR="00F8467C" w:rsidRPr="00F8467C">
        <w:rPr>
          <w:rFonts w:ascii="Times New Roman" w:hAnsi="Times New Roman"/>
          <w:bCs/>
          <w:sz w:val="24"/>
          <w:szCs w:val="24"/>
        </w:rPr>
        <w:t xml:space="preserve"> clients to pay fees in several instalments </w:t>
      </w:r>
      <w:r w:rsidR="00F8467C" w:rsidRPr="00F8467C">
        <w:rPr>
          <w:rFonts w:ascii="Times New Roman" w:hAnsi="Times New Roman"/>
          <w:b/>
          <w:bCs/>
          <w:sz w:val="24"/>
          <w:szCs w:val="24"/>
        </w:rPr>
        <w:t>(from 4 to 12</w:t>
      </w:r>
      <w:r w:rsidR="000F3537">
        <w:rPr>
          <w:rFonts w:ascii="Times New Roman" w:hAnsi="Times New Roman"/>
          <w:b/>
          <w:bCs/>
          <w:sz w:val="24"/>
          <w:szCs w:val="24"/>
        </w:rPr>
        <w:t xml:space="preserve"> instalments</w:t>
      </w:r>
      <w:r w:rsidR="00F8467C" w:rsidRPr="00F8467C">
        <w:rPr>
          <w:rFonts w:ascii="Times New Roman" w:hAnsi="Times New Roman"/>
          <w:b/>
          <w:bCs/>
          <w:sz w:val="24"/>
          <w:szCs w:val="24"/>
        </w:rPr>
        <w:t>)</w:t>
      </w:r>
      <w:r w:rsidR="00867F19">
        <w:rPr>
          <w:rFonts w:ascii="Times New Roman" w:hAnsi="Times New Roman"/>
          <w:b/>
          <w:bCs/>
          <w:sz w:val="24"/>
          <w:szCs w:val="24"/>
        </w:rPr>
        <w:t>.</w:t>
      </w:r>
      <w:r w:rsidR="00F8467C">
        <w:rPr>
          <w:rFonts w:ascii="Times New Roman" w:hAnsi="Times New Roman"/>
          <w:bCs/>
          <w:sz w:val="24"/>
          <w:szCs w:val="24"/>
        </w:rPr>
        <w:t xml:space="preserve"> </w:t>
      </w:r>
      <w:r w:rsidR="00CF41E3">
        <w:rPr>
          <w:rFonts w:ascii="Times New Roman" w:hAnsi="Times New Roman"/>
          <w:bCs/>
          <w:sz w:val="24"/>
          <w:szCs w:val="24"/>
        </w:rPr>
        <w:t xml:space="preserve">We recommend a revision of Article 6 </w:t>
      </w:r>
      <w:r w:rsidR="00D32039">
        <w:rPr>
          <w:rFonts w:ascii="Times New Roman" w:hAnsi="Times New Roman"/>
          <w:bCs/>
          <w:sz w:val="24"/>
          <w:szCs w:val="24"/>
        </w:rPr>
        <w:t>to allow clients the option of doing so as well</w:t>
      </w:r>
      <w:r w:rsidR="00CF41E3">
        <w:rPr>
          <w:rFonts w:ascii="Times New Roman" w:hAnsi="Times New Roman"/>
          <w:bCs/>
          <w:sz w:val="24"/>
          <w:szCs w:val="24"/>
        </w:rPr>
        <w:t xml:space="preserve">. </w:t>
      </w:r>
    </w:p>
    <w:p w:rsidR="000D1BA5" w:rsidRDefault="000D1BA5" w:rsidP="009371F3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0D1BA5" w:rsidSect="00185048"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D0" w:rsidRDefault="008160D0" w:rsidP="00DA32F7">
      <w:r>
        <w:separator/>
      </w:r>
    </w:p>
  </w:endnote>
  <w:endnote w:type="continuationSeparator" w:id="0">
    <w:p w:rsidR="008160D0" w:rsidRDefault="008160D0" w:rsidP="00DA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B22" w:rsidRDefault="00A560F3">
    <w:pPr>
      <w:pStyle w:val="Footer"/>
      <w:jc w:val="right"/>
    </w:pPr>
    <w:r>
      <w:fldChar w:fldCharType="begin"/>
    </w:r>
    <w:r w:rsidR="00B90B22">
      <w:instrText xml:space="preserve"> PAGE   \* MERGEFORMAT </w:instrText>
    </w:r>
    <w:r>
      <w:fldChar w:fldCharType="separate"/>
    </w:r>
    <w:r w:rsidR="00CF1481">
      <w:rPr>
        <w:noProof/>
      </w:rPr>
      <w:t>3</w:t>
    </w:r>
    <w:r>
      <w:rPr>
        <w:noProof/>
      </w:rPr>
      <w:fldChar w:fldCharType="end"/>
    </w:r>
  </w:p>
  <w:p w:rsidR="00B90B22" w:rsidRDefault="00B90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D0" w:rsidRDefault="008160D0" w:rsidP="00DA32F7">
      <w:r>
        <w:separator/>
      </w:r>
    </w:p>
  </w:footnote>
  <w:footnote w:type="continuationSeparator" w:id="0">
    <w:p w:rsidR="008160D0" w:rsidRDefault="008160D0" w:rsidP="00DA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AC0"/>
    <w:multiLevelType w:val="hybridMultilevel"/>
    <w:tmpl w:val="516AC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161B"/>
    <w:multiLevelType w:val="hybridMultilevel"/>
    <w:tmpl w:val="4EEC2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5A65"/>
    <w:multiLevelType w:val="hybridMultilevel"/>
    <w:tmpl w:val="609C9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622D6"/>
    <w:multiLevelType w:val="hybridMultilevel"/>
    <w:tmpl w:val="71EA7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D19C9"/>
    <w:multiLevelType w:val="hybridMultilevel"/>
    <w:tmpl w:val="490CD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7831FF"/>
    <w:multiLevelType w:val="hybridMultilevel"/>
    <w:tmpl w:val="E2FA5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75C80"/>
    <w:multiLevelType w:val="hybridMultilevel"/>
    <w:tmpl w:val="D632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FF"/>
    <w:rsid w:val="00003BCD"/>
    <w:rsid w:val="00005324"/>
    <w:rsid w:val="00011381"/>
    <w:rsid w:val="0001146B"/>
    <w:rsid w:val="0002407D"/>
    <w:rsid w:val="000358D4"/>
    <w:rsid w:val="00040B5E"/>
    <w:rsid w:val="00045F89"/>
    <w:rsid w:val="00050AF5"/>
    <w:rsid w:val="00055EFF"/>
    <w:rsid w:val="000608D6"/>
    <w:rsid w:val="00064A29"/>
    <w:rsid w:val="0006606E"/>
    <w:rsid w:val="00066804"/>
    <w:rsid w:val="00081F41"/>
    <w:rsid w:val="0008289B"/>
    <w:rsid w:val="0008545A"/>
    <w:rsid w:val="00091E17"/>
    <w:rsid w:val="00096F35"/>
    <w:rsid w:val="000A1658"/>
    <w:rsid w:val="000A53C1"/>
    <w:rsid w:val="000B2EED"/>
    <w:rsid w:val="000C0597"/>
    <w:rsid w:val="000C4690"/>
    <w:rsid w:val="000C6A33"/>
    <w:rsid w:val="000C7BBC"/>
    <w:rsid w:val="000D1BA5"/>
    <w:rsid w:val="000D3485"/>
    <w:rsid w:val="000D408F"/>
    <w:rsid w:val="000D65A9"/>
    <w:rsid w:val="000E2B2D"/>
    <w:rsid w:val="000F0871"/>
    <w:rsid w:val="000F1955"/>
    <w:rsid w:val="000F3537"/>
    <w:rsid w:val="000F6E27"/>
    <w:rsid w:val="001008ED"/>
    <w:rsid w:val="0010220E"/>
    <w:rsid w:val="00106381"/>
    <w:rsid w:val="00122AE8"/>
    <w:rsid w:val="001355B6"/>
    <w:rsid w:val="00140619"/>
    <w:rsid w:val="001409F7"/>
    <w:rsid w:val="00145040"/>
    <w:rsid w:val="001570A6"/>
    <w:rsid w:val="001663F3"/>
    <w:rsid w:val="00170660"/>
    <w:rsid w:val="0017253C"/>
    <w:rsid w:val="001758A2"/>
    <w:rsid w:val="00177EA4"/>
    <w:rsid w:val="00185048"/>
    <w:rsid w:val="00187655"/>
    <w:rsid w:val="0019146A"/>
    <w:rsid w:val="001A079C"/>
    <w:rsid w:val="001A5679"/>
    <w:rsid w:val="001B41B8"/>
    <w:rsid w:val="001B4481"/>
    <w:rsid w:val="001C115F"/>
    <w:rsid w:val="001C7045"/>
    <w:rsid w:val="001C745C"/>
    <w:rsid w:val="001D754A"/>
    <w:rsid w:val="001E0668"/>
    <w:rsid w:val="001E5C35"/>
    <w:rsid w:val="001E69A1"/>
    <w:rsid w:val="001F4BFA"/>
    <w:rsid w:val="002011D8"/>
    <w:rsid w:val="0020185D"/>
    <w:rsid w:val="002020A9"/>
    <w:rsid w:val="002021E4"/>
    <w:rsid w:val="00202B5D"/>
    <w:rsid w:val="00213F58"/>
    <w:rsid w:val="00215697"/>
    <w:rsid w:val="0022023F"/>
    <w:rsid w:val="00220253"/>
    <w:rsid w:val="00226B0F"/>
    <w:rsid w:val="00227346"/>
    <w:rsid w:val="002318F5"/>
    <w:rsid w:val="00241C38"/>
    <w:rsid w:val="00242FAB"/>
    <w:rsid w:val="00246289"/>
    <w:rsid w:val="00247390"/>
    <w:rsid w:val="00247AB2"/>
    <w:rsid w:val="00247CDB"/>
    <w:rsid w:val="00251283"/>
    <w:rsid w:val="002524F0"/>
    <w:rsid w:val="002531B1"/>
    <w:rsid w:val="00253285"/>
    <w:rsid w:val="00256D0D"/>
    <w:rsid w:val="00265A7A"/>
    <w:rsid w:val="00265BFA"/>
    <w:rsid w:val="00265FC8"/>
    <w:rsid w:val="002677A3"/>
    <w:rsid w:val="00267913"/>
    <w:rsid w:val="00270E49"/>
    <w:rsid w:val="0027427D"/>
    <w:rsid w:val="002758E5"/>
    <w:rsid w:val="00276172"/>
    <w:rsid w:val="00281764"/>
    <w:rsid w:val="002A201D"/>
    <w:rsid w:val="002A3BFB"/>
    <w:rsid w:val="002A511D"/>
    <w:rsid w:val="002A554D"/>
    <w:rsid w:val="002D0FF6"/>
    <w:rsid w:val="002D1EB4"/>
    <w:rsid w:val="002E404F"/>
    <w:rsid w:val="002F0DC3"/>
    <w:rsid w:val="002F4619"/>
    <w:rsid w:val="002F688F"/>
    <w:rsid w:val="002F6B56"/>
    <w:rsid w:val="00307DAD"/>
    <w:rsid w:val="00310FB2"/>
    <w:rsid w:val="00313951"/>
    <w:rsid w:val="00314517"/>
    <w:rsid w:val="00323655"/>
    <w:rsid w:val="00333025"/>
    <w:rsid w:val="003357AD"/>
    <w:rsid w:val="00337982"/>
    <w:rsid w:val="00345D79"/>
    <w:rsid w:val="00350004"/>
    <w:rsid w:val="003503D6"/>
    <w:rsid w:val="00354C90"/>
    <w:rsid w:val="00357B49"/>
    <w:rsid w:val="003631D2"/>
    <w:rsid w:val="003720DD"/>
    <w:rsid w:val="003726E4"/>
    <w:rsid w:val="003751A6"/>
    <w:rsid w:val="00381DAD"/>
    <w:rsid w:val="0038331B"/>
    <w:rsid w:val="003A081A"/>
    <w:rsid w:val="003A2206"/>
    <w:rsid w:val="003A7B36"/>
    <w:rsid w:val="003B4C2B"/>
    <w:rsid w:val="003B4E0C"/>
    <w:rsid w:val="003B5B32"/>
    <w:rsid w:val="003C0BBB"/>
    <w:rsid w:val="003C4B04"/>
    <w:rsid w:val="003D00EE"/>
    <w:rsid w:val="003D4125"/>
    <w:rsid w:val="003D56E5"/>
    <w:rsid w:val="003D585C"/>
    <w:rsid w:val="003F0101"/>
    <w:rsid w:val="003F2137"/>
    <w:rsid w:val="003F2AF0"/>
    <w:rsid w:val="003F3DBA"/>
    <w:rsid w:val="0040411E"/>
    <w:rsid w:val="00404E21"/>
    <w:rsid w:val="00405B3E"/>
    <w:rsid w:val="00405FCA"/>
    <w:rsid w:val="00417A55"/>
    <w:rsid w:val="00417B0C"/>
    <w:rsid w:val="0043617B"/>
    <w:rsid w:val="00436D23"/>
    <w:rsid w:val="00441DC2"/>
    <w:rsid w:val="00446F82"/>
    <w:rsid w:val="00452310"/>
    <w:rsid w:val="00456E15"/>
    <w:rsid w:val="004602DD"/>
    <w:rsid w:val="0046144D"/>
    <w:rsid w:val="00467C82"/>
    <w:rsid w:val="00467DDE"/>
    <w:rsid w:val="00467F93"/>
    <w:rsid w:val="004730B2"/>
    <w:rsid w:val="00475193"/>
    <w:rsid w:val="00483763"/>
    <w:rsid w:val="004850BC"/>
    <w:rsid w:val="004865A8"/>
    <w:rsid w:val="004931E1"/>
    <w:rsid w:val="004975CB"/>
    <w:rsid w:val="00497A3A"/>
    <w:rsid w:val="004A4F6F"/>
    <w:rsid w:val="004A5586"/>
    <w:rsid w:val="004A5724"/>
    <w:rsid w:val="004A60FA"/>
    <w:rsid w:val="004A7B2A"/>
    <w:rsid w:val="004B1DF0"/>
    <w:rsid w:val="004B2DDC"/>
    <w:rsid w:val="004B386C"/>
    <w:rsid w:val="004C37E4"/>
    <w:rsid w:val="004C6A76"/>
    <w:rsid w:val="004C7CF7"/>
    <w:rsid w:val="004D22B5"/>
    <w:rsid w:val="004D3CE3"/>
    <w:rsid w:val="004D5401"/>
    <w:rsid w:val="004D6028"/>
    <w:rsid w:val="004E1CC0"/>
    <w:rsid w:val="004F04C9"/>
    <w:rsid w:val="004F0F10"/>
    <w:rsid w:val="004F1971"/>
    <w:rsid w:val="004F2D4E"/>
    <w:rsid w:val="004F3863"/>
    <w:rsid w:val="004F3DC0"/>
    <w:rsid w:val="004F3E8F"/>
    <w:rsid w:val="004F6D1F"/>
    <w:rsid w:val="00505C2D"/>
    <w:rsid w:val="00507DB9"/>
    <w:rsid w:val="0051247F"/>
    <w:rsid w:val="005155E3"/>
    <w:rsid w:val="005169B4"/>
    <w:rsid w:val="00517D0A"/>
    <w:rsid w:val="005213ED"/>
    <w:rsid w:val="005223BB"/>
    <w:rsid w:val="0052469D"/>
    <w:rsid w:val="00527836"/>
    <w:rsid w:val="00535998"/>
    <w:rsid w:val="005408BB"/>
    <w:rsid w:val="00542A3C"/>
    <w:rsid w:val="00550049"/>
    <w:rsid w:val="00552605"/>
    <w:rsid w:val="00555A67"/>
    <w:rsid w:val="00560192"/>
    <w:rsid w:val="005620CB"/>
    <w:rsid w:val="0056596F"/>
    <w:rsid w:val="0058094D"/>
    <w:rsid w:val="005908BC"/>
    <w:rsid w:val="00590E92"/>
    <w:rsid w:val="005B1F5C"/>
    <w:rsid w:val="005B27C5"/>
    <w:rsid w:val="005C2B99"/>
    <w:rsid w:val="005D3006"/>
    <w:rsid w:val="005D42B3"/>
    <w:rsid w:val="005E44F0"/>
    <w:rsid w:val="005E7C34"/>
    <w:rsid w:val="005F1FBD"/>
    <w:rsid w:val="005F22B5"/>
    <w:rsid w:val="005F7F95"/>
    <w:rsid w:val="00606067"/>
    <w:rsid w:val="00613A16"/>
    <w:rsid w:val="00621F93"/>
    <w:rsid w:val="006246EB"/>
    <w:rsid w:val="00641AA7"/>
    <w:rsid w:val="0064244E"/>
    <w:rsid w:val="006514D3"/>
    <w:rsid w:val="00651E03"/>
    <w:rsid w:val="006561FF"/>
    <w:rsid w:val="00657F72"/>
    <w:rsid w:val="00660294"/>
    <w:rsid w:val="00663BBD"/>
    <w:rsid w:val="00666B85"/>
    <w:rsid w:val="006805D8"/>
    <w:rsid w:val="00681CAB"/>
    <w:rsid w:val="00681E37"/>
    <w:rsid w:val="0068570D"/>
    <w:rsid w:val="00686F34"/>
    <w:rsid w:val="006935F9"/>
    <w:rsid w:val="006A135B"/>
    <w:rsid w:val="006A25DE"/>
    <w:rsid w:val="006A4744"/>
    <w:rsid w:val="006B765E"/>
    <w:rsid w:val="006C04FC"/>
    <w:rsid w:val="006C13E3"/>
    <w:rsid w:val="006C2129"/>
    <w:rsid w:val="006C6E3F"/>
    <w:rsid w:val="006C7112"/>
    <w:rsid w:val="006C7B49"/>
    <w:rsid w:val="006C7D80"/>
    <w:rsid w:val="006D0B01"/>
    <w:rsid w:val="006D170F"/>
    <w:rsid w:val="006E2326"/>
    <w:rsid w:val="006E603D"/>
    <w:rsid w:val="006E76F8"/>
    <w:rsid w:val="006F041D"/>
    <w:rsid w:val="00700108"/>
    <w:rsid w:val="0070497B"/>
    <w:rsid w:val="00710641"/>
    <w:rsid w:val="00711478"/>
    <w:rsid w:val="00712310"/>
    <w:rsid w:val="00715979"/>
    <w:rsid w:val="00720DC8"/>
    <w:rsid w:val="00722570"/>
    <w:rsid w:val="00725DBF"/>
    <w:rsid w:val="00736542"/>
    <w:rsid w:val="00740E6E"/>
    <w:rsid w:val="00746549"/>
    <w:rsid w:val="00751805"/>
    <w:rsid w:val="007544F7"/>
    <w:rsid w:val="00762E73"/>
    <w:rsid w:val="007640C1"/>
    <w:rsid w:val="007662CB"/>
    <w:rsid w:val="0077180E"/>
    <w:rsid w:val="00773FCF"/>
    <w:rsid w:val="007812FC"/>
    <w:rsid w:val="00782121"/>
    <w:rsid w:val="00783996"/>
    <w:rsid w:val="007870F9"/>
    <w:rsid w:val="007874D5"/>
    <w:rsid w:val="00791FE5"/>
    <w:rsid w:val="007958DA"/>
    <w:rsid w:val="00796802"/>
    <w:rsid w:val="007A0BA4"/>
    <w:rsid w:val="007A0C61"/>
    <w:rsid w:val="007B0612"/>
    <w:rsid w:val="007B2ABB"/>
    <w:rsid w:val="007B37B7"/>
    <w:rsid w:val="007C3C59"/>
    <w:rsid w:val="007D013B"/>
    <w:rsid w:val="007D09B4"/>
    <w:rsid w:val="007D2000"/>
    <w:rsid w:val="007E4E89"/>
    <w:rsid w:val="007F29D8"/>
    <w:rsid w:val="007F3840"/>
    <w:rsid w:val="00802FEE"/>
    <w:rsid w:val="008111BE"/>
    <w:rsid w:val="00812807"/>
    <w:rsid w:val="008160D0"/>
    <w:rsid w:val="00823AB7"/>
    <w:rsid w:val="00826536"/>
    <w:rsid w:val="00842F16"/>
    <w:rsid w:val="00850557"/>
    <w:rsid w:val="00851A2C"/>
    <w:rsid w:val="00852397"/>
    <w:rsid w:val="00852462"/>
    <w:rsid w:val="0086369E"/>
    <w:rsid w:val="00867F19"/>
    <w:rsid w:val="008712E8"/>
    <w:rsid w:val="00873751"/>
    <w:rsid w:val="00876F2F"/>
    <w:rsid w:val="00880BA7"/>
    <w:rsid w:val="00891E66"/>
    <w:rsid w:val="00895A67"/>
    <w:rsid w:val="008A4E24"/>
    <w:rsid w:val="008A601B"/>
    <w:rsid w:val="008A7C47"/>
    <w:rsid w:val="008B603F"/>
    <w:rsid w:val="008C3641"/>
    <w:rsid w:val="008C456B"/>
    <w:rsid w:val="008C6122"/>
    <w:rsid w:val="008D63DA"/>
    <w:rsid w:val="008D7F60"/>
    <w:rsid w:val="008F0103"/>
    <w:rsid w:val="008F1DBA"/>
    <w:rsid w:val="008F36F3"/>
    <w:rsid w:val="008F58A0"/>
    <w:rsid w:val="008F7A3E"/>
    <w:rsid w:val="0090242C"/>
    <w:rsid w:val="00903546"/>
    <w:rsid w:val="009079E2"/>
    <w:rsid w:val="0091636E"/>
    <w:rsid w:val="009173A6"/>
    <w:rsid w:val="0092093A"/>
    <w:rsid w:val="009371F3"/>
    <w:rsid w:val="00941254"/>
    <w:rsid w:val="00942859"/>
    <w:rsid w:val="00950833"/>
    <w:rsid w:val="009600AC"/>
    <w:rsid w:val="00962920"/>
    <w:rsid w:val="009646F9"/>
    <w:rsid w:val="00976192"/>
    <w:rsid w:val="00982704"/>
    <w:rsid w:val="00983A5C"/>
    <w:rsid w:val="0098643C"/>
    <w:rsid w:val="00987BB1"/>
    <w:rsid w:val="009949BD"/>
    <w:rsid w:val="009972BD"/>
    <w:rsid w:val="00997851"/>
    <w:rsid w:val="009A26B5"/>
    <w:rsid w:val="009A3B3B"/>
    <w:rsid w:val="009B0EE1"/>
    <w:rsid w:val="009B1B23"/>
    <w:rsid w:val="009B307B"/>
    <w:rsid w:val="009B6908"/>
    <w:rsid w:val="009C131F"/>
    <w:rsid w:val="009C67FA"/>
    <w:rsid w:val="009D0E57"/>
    <w:rsid w:val="009D13AF"/>
    <w:rsid w:val="009D3013"/>
    <w:rsid w:val="009E4AA5"/>
    <w:rsid w:val="009F4F14"/>
    <w:rsid w:val="009F6D4C"/>
    <w:rsid w:val="00A00169"/>
    <w:rsid w:val="00A004AB"/>
    <w:rsid w:val="00A02083"/>
    <w:rsid w:val="00A204BB"/>
    <w:rsid w:val="00A27616"/>
    <w:rsid w:val="00A36B41"/>
    <w:rsid w:val="00A41128"/>
    <w:rsid w:val="00A42395"/>
    <w:rsid w:val="00A560F3"/>
    <w:rsid w:val="00A57EBD"/>
    <w:rsid w:val="00A64161"/>
    <w:rsid w:val="00A6582A"/>
    <w:rsid w:val="00A66076"/>
    <w:rsid w:val="00A73AC2"/>
    <w:rsid w:val="00A76107"/>
    <w:rsid w:val="00A85450"/>
    <w:rsid w:val="00A86F74"/>
    <w:rsid w:val="00A919A0"/>
    <w:rsid w:val="00A96DDC"/>
    <w:rsid w:val="00AA4488"/>
    <w:rsid w:val="00AB11F7"/>
    <w:rsid w:val="00AB7C8C"/>
    <w:rsid w:val="00AB7D21"/>
    <w:rsid w:val="00AC043B"/>
    <w:rsid w:val="00AC141D"/>
    <w:rsid w:val="00AC3DF2"/>
    <w:rsid w:val="00AC405D"/>
    <w:rsid w:val="00AC73E8"/>
    <w:rsid w:val="00AD6E8E"/>
    <w:rsid w:val="00AD736F"/>
    <w:rsid w:val="00AE1479"/>
    <w:rsid w:val="00AF0CCA"/>
    <w:rsid w:val="00AF4355"/>
    <w:rsid w:val="00B04D8D"/>
    <w:rsid w:val="00B05BE1"/>
    <w:rsid w:val="00B0666B"/>
    <w:rsid w:val="00B06C2F"/>
    <w:rsid w:val="00B1059D"/>
    <w:rsid w:val="00B10619"/>
    <w:rsid w:val="00B1546D"/>
    <w:rsid w:val="00B31733"/>
    <w:rsid w:val="00B40CD7"/>
    <w:rsid w:val="00B412D3"/>
    <w:rsid w:val="00B41B47"/>
    <w:rsid w:val="00B45C21"/>
    <w:rsid w:val="00B607E1"/>
    <w:rsid w:val="00B61053"/>
    <w:rsid w:val="00B66032"/>
    <w:rsid w:val="00B74B60"/>
    <w:rsid w:val="00B90B22"/>
    <w:rsid w:val="00B932A3"/>
    <w:rsid w:val="00B93CE4"/>
    <w:rsid w:val="00B95D8B"/>
    <w:rsid w:val="00BA373F"/>
    <w:rsid w:val="00BA7BBC"/>
    <w:rsid w:val="00BB59BA"/>
    <w:rsid w:val="00BC51A5"/>
    <w:rsid w:val="00BC5D24"/>
    <w:rsid w:val="00BD42CC"/>
    <w:rsid w:val="00BD55B6"/>
    <w:rsid w:val="00BE08FE"/>
    <w:rsid w:val="00BE2B05"/>
    <w:rsid w:val="00BE6A62"/>
    <w:rsid w:val="00BF2F32"/>
    <w:rsid w:val="00C04993"/>
    <w:rsid w:val="00C0605F"/>
    <w:rsid w:val="00C14523"/>
    <w:rsid w:val="00C25DC0"/>
    <w:rsid w:val="00C3051A"/>
    <w:rsid w:val="00C30D57"/>
    <w:rsid w:val="00C31B96"/>
    <w:rsid w:val="00C332A1"/>
    <w:rsid w:val="00C34144"/>
    <w:rsid w:val="00C4008B"/>
    <w:rsid w:val="00C4024D"/>
    <w:rsid w:val="00C40D49"/>
    <w:rsid w:val="00C45B41"/>
    <w:rsid w:val="00C472B1"/>
    <w:rsid w:val="00C51E14"/>
    <w:rsid w:val="00C5257A"/>
    <w:rsid w:val="00C53F32"/>
    <w:rsid w:val="00C6111C"/>
    <w:rsid w:val="00C6158F"/>
    <w:rsid w:val="00C6480E"/>
    <w:rsid w:val="00C71804"/>
    <w:rsid w:val="00C84699"/>
    <w:rsid w:val="00C90BC3"/>
    <w:rsid w:val="00CA542A"/>
    <w:rsid w:val="00CA7178"/>
    <w:rsid w:val="00CB00A4"/>
    <w:rsid w:val="00CB38FB"/>
    <w:rsid w:val="00CB5D6B"/>
    <w:rsid w:val="00CC20E9"/>
    <w:rsid w:val="00CC7DAF"/>
    <w:rsid w:val="00CD174A"/>
    <w:rsid w:val="00CD1D10"/>
    <w:rsid w:val="00CF1481"/>
    <w:rsid w:val="00CF252C"/>
    <w:rsid w:val="00CF41E3"/>
    <w:rsid w:val="00CF7BEB"/>
    <w:rsid w:val="00D01F58"/>
    <w:rsid w:val="00D07C12"/>
    <w:rsid w:val="00D10697"/>
    <w:rsid w:val="00D11B05"/>
    <w:rsid w:val="00D12DAF"/>
    <w:rsid w:val="00D13A10"/>
    <w:rsid w:val="00D16373"/>
    <w:rsid w:val="00D21154"/>
    <w:rsid w:val="00D272AD"/>
    <w:rsid w:val="00D32039"/>
    <w:rsid w:val="00D32474"/>
    <w:rsid w:val="00D35E9A"/>
    <w:rsid w:val="00D47880"/>
    <w:rsid w:val="00D56393"/>
    <w:rsid w:val="00D5716C"/>
    <w:rsid w:val="00D57DA6"/>
    <w:rsid w:val="00D6440A"/>
    <w:rsid w:val="00D7181F"/>
    <w:rsid w:val="00D71DD2"/>
    <w:rsid w:val="00D724F7"/>
    <w:rsid w:val="00D809EB"/>
    <w:rsid w:val="00D817B9"/>
    <w:rsid w:val="00D822F4"/>
    <w:rsid w:val="00D83633"/>
    <w:rsid w:val="00D839C7"/>
    <w:rsid w:val="00D85A64"/>
    <w:rsid w:val="00D866CC"/>
    <w:rsid w:val="00D90DA4"/>
    <w:rsid w:val="00D976E9"/>
    <w:rsid w:val="00DA32F7"/>
    <w:rsid w:val="00DA6736"/>
    <w:rsid w:val="00DB44A3"/>
    <w:rsid w:val="00DB7373"/>
    <w:rsid w:val="00DC06B8"/>
    <w:rsid w:val="00DC47A9"/>
    <w:rsid w:val="00DC60F3"/>
    <w:rsid w:val="00DC61BE"/>
    <w:rsid w:val="00DD16DC"/>
    <w:rsid w:val="00DD3D6A"/>
    <w:rsid w:val="00DD4C02"/>
    <w:rsid w:val="00DD686F"/>
    <w:rsid w:val="00DE24B2"/>
    <w:rsid w:val="00DE31C2"/>
    <w:rsid w:val="00DF647D"/>
    <w:rsid w:val="00E03CFF"/>
    <w:rsid w:val="00E05CD9"/>
    <w:rsid w:val="00E16D2E"/>
    <w:rsid w:val="00E17960"/>
    <w:rsid w:val="00E2303B"/>
    <w:rsid w:val="00E23561"/>
    <w:rsid w:val="00E3333E"/>
    <w:rsid w:val="00E35509"/>
    <w:rsid w:val="00E37D25"/>
    <w:rsid w:val="00E4036C"/>
    <w:rsid w:val="00E50247"/>
    <w:rsid w:val="00E56B10"/>
    <w:rsid w:val="00E64382"/>
    <w:rsid w:val="00E66F60"/>
    <w:rsid w:val="00E7051D"/>
    <w:rsid w:val="00E72995"/>
    <w:rsid w:val="00E817C6"/>
    <w:rsid w:val="00E84403"/>
    <w:rsid w:val="00E86092"/>
    <w:rsid w:val="00E87B58"/>
    <w:rsid w:val="00E903A2"/>
    <w:rsid w:val="00E91BD7"/>
    <w:rsid w:val="00E93374"/>
    <w:rsid w:val="00E95BC4"/>
    <w:rsid w:val="00EA3F9F"/>
    <w:rsid w:val="00EC068C"/>
    <w:rsid w:val="00EC5C67"/>
    <w:rsid w:val="00ED17AE"/>
    <w:rsid w:val="00ED26B7"/>
    <w:rsid w:val="00ED5059"/>
    <w:rsid w:val="00EE145A"/>
    <w:rsid w:val="00EE2102"/>
    <w:rsid w:val="00EE66DE"/>
    <w:rsid w:val="00EE6E46"/>
    <w:rsid w:val="00EE7ADE"/>
    <w:rsid w:val="00EF0975"/>
    <w:rsid w:val="00EF4708"/>
    <w:rsid w:val="00F0395E"/>
    <w:rsid w:val="00F05FAA"/>
    <w:rsid w:val="00F06107"/>
    <w:rsid w:val="00F10AE7"/>
    <w:rsid w:val="00F1191B"/>
    <w:rsid w:val="00F11CAB"/>
    <w:rsid w:val="00F11F14"/>
    <w:rsid w:val="00F15C9C"/>
    <w:rsid w:val="00F20718"/>
    <w:rsid w:val="00F31318"/>
    <w:rsid w:val="00F40145"/>
    <w:rsid w:val="00F43058"/>
    <w:rsid w:val="00F441F5"/>
    <w:rsid w:val="00F442E5"/>
    <w:rsid w:val="00F45A8E"/>
    <w:rsid w:val="00F52FD1"/>
    <w:rsid w:val="00F539BD"/>
    <w:rsid w:val="00F5685F"/>
    <w:rsid w:val="00F57322"/>
    <w:rsid w:val="00F64FB7"/>
    <w:rsid w:val="00F73595"/>
    <w:rsid w:val="00F76F33"/>
    <w:rsid w:val="00F77FA9"/>
    <w:rsid w:val="00F80582"/>
    <w:rsid w:val="00F813F6"/>
    <w:rsid w:val="00F8467C"/>
    <w:rsid w:val="00F84BA5"/>
    <w:rsid w:val="00F87096"/>
    <w:rsid w:val="00F93006"/>
    <w:rsid w:val="00F932D4"/>
    <w:rsid w:val="00F939E2"/>
    <w:rsid w:val="00FA29DE"/>
    <w:rsid w:val="00FA3327"/>
    <w:rsid w:val="00FA4C00"/>
    <w:rsid w:val="00FA6A0C"/>
    <w:rsid w:val="00FB394B"/>
    <w:rsid w:val="00FB4FBA"/>
    <w:rsid w:val="00FB5186"/>
    <w:rsid w:val="00FB6FE4"/>
    <w:rsid w:val="00FC2D2B"/>
    <w:rsid w:val="00FC68D0"/>
    <w:rsid w:val="00FD1229"/>
    <w:rsid w:val="00FD16AE"/>
    <w:rsid w:val="00FD1BEC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F7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A32F7"/>
    <w:pPr>
      <w:spacing w:after="200" w:line="276" w:lineRule="auto"/>
    </w:pPr>
    <w:rPr>
      <w:sz w:val="20"/>
      <w:szCs w:val="20"/>
      <w:lang w:val="sq-AL"/>
    </w:rPr>
  </w:style>
  <w:style w:type="character" w:customStyle="1" w:styleId="CommentTextChar">
    <w:name w:val="Comment Text Char"/>
    <w:link w:val="CommentText"/>
    <w:uiPriority w:val="99"/>
    <w:rsid w:val="00DA32F7"/>
    <w:rPr>
      <w:rFonts w:ascii="Calibri" w:eastAsia="Calibri" w:hAnsi="Calibri" w:cs="Times New Roman"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DA32F7"/>
    <w:pPr>
      <w:ind w:left="720"/>
      <w:contextualSpacing/>
    </w:pPr>
  </w:style>
  <w:style w:type="character" w:styleId="FootnoteReference">
    <w:name w:val="footnote reference"/>
    <w:semiHidden/>
    <w:unhideWhenUsed/>
    <w:rsid w:val="00DA32F7"/>
    <w:rPr>
      <w:vertAlign w:val="superscript"/>
    </w:rPr>
  </w:style>
  <w:style w:type="table" w:styleId="TableGrid">
    <w:name w:val="Table Grid"/>
    <w:basedOn w:val="TableNormal"/>
    <w:rsid w:val="00DA32F7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276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6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616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AC043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043B"/>
    <w:rPr>
      <w:rFonts w:ascii="Calibri" w:hAnsi="Calibri" w:cs="Times New Roman"/>
      <w:sz w:val="20"/>
      <w:szCs w:val="20"/>
      <w:lang w:eastAsia="en-GB"/>
    </w:rPr>
  </w:style>
  <w:style w:type="paragraph" w:customStyle="1" w:styleId="Default">
    <w:name w:val="Default"/>
    <w:rsid w:val="007A0BA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467C8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BB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ABB"/>
    <w:rPr>
      <w:rFonts w:ascii="Calibri" w:eastAsia="Calibri" w:hAnsi="Calibri" w:cs="Times New Roman"/>
      <w:b/>
      <w:bCs/>
      <w:sz w:val="20"/>
      <w:szCs w:val="20"/>
      <w:lang w:val="sq-AL" w:eastAsia="en-GB"/>
    </w:rPr>
  </w:style>
  <w:style w:type="paragraph" w:styleId="Revision">
    <w:name w:val="Revision"/>
    <w:hidden/>
    <w:uiPriority w:val="99"/>
    <w:semiHidden/>
    <w:rsid w:val="00FC68D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081A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3A081A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081A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A081A"/>
    <w:rPr>
      <w:rFonts w:ascii="Calibri" w:hAnsi="Calibri" w:cs="Times New Roman"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F7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DA32F7"/>
    <w:pPr>
      <w:spacing w:after="200" w:line="276" w:lineRule="auto"/>
    </w:pPr>
    <w:rPr>
      <w:sz w:val="20"/>
      <w:szCs w:val="20"/>
      <w:lang w:val="sq-AL"/>
    </w:rPr>
  </w:style>
  <w:style w:type="character" w:customStyle="1" w:styleId="CommentTextChar">
    <w:name w:val="Comment Text Char"/>
    <w:link w:val="CommentText"/>
    <w:uiPriority w:val="99"/>
    <w:rsid w:val="00DA32F7"/>
    <w:rPr>
      <w:rFonts w:ascii="Calibri" w:eastAsia="Calibri" w:hAnsi="Calibri" w:cs="Times New Roman"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DA32F7"/>
    <w:pPr>
      <w:ind w:left="720"/>
      <w:contextualSpacing/>
    </w:pPr>
  </w:style>
  <w:style w:type="character" w:styleId="FootnoteReference">
    <w:name w:val="footnote reference"/>
    <w:semiHidden/>
    <w:unhideWhenUsed/>
    <w:rsid w:val="00DA32F7"/>
    <w:rPr>
      <w:vertAlign w:val="superscript"/>
    </w:rPr>
  </w:style>
  <w:style w:type="table" w:styleId="TableGrid">
    <w:name w:val="Table Grid"/>
    <w:basedOn w:val="TableNormal"/>
    <w:rsid w:val="00DA32F7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2761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6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616"/>
    <w:rPr>
      <w:rFonts w:ascii="Tahoma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AC043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C043B"/>
    <w:rPr>
      <w:rFonts w:ascii="Calibri" w:hAnsi="Calibri" w:cs="Times New Roman"/>
      <w:sz w:val="20"/>
      <w:szCs w:val="20"/>
      <w:lang w:eastAsia="en-GB"/>
    </w:rPr>
  </w:style>
  <w:style w:type="paragraph" w:customStyle="1" w:styleId="Default">
    <w:name w:val="Default"/>
    <w:rsid w:val="007A0BA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467C8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BB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ABB"/>
    <w:rPr>
      <w:rFonts w:ascii="Calibri" w:eastAsia="Calibri" w:hAnsi="Calibri" w:cs="Times New Roman"/>
      <w:b/>
      <w:bCs/>
      <w:sz w:val="20"/>
      <w:szCs w:val="20"/>
      <w:lang w:val="sq-AL" w:eastAsia="en-GB"/>
    </w:rPr>
  </w:style>
  <w:style w:type="paragraph" w:styleId="Revision">
    <w:name w:val="Revision"/>
    <w:hidden/>
    <w:uiPriority w:val="99"/>
    <w:semiHidden/>
    <w:rsid w:val="00FC68D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081A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3A081A"/>
    <w:rPr>
      <w:rFonts w:ascii="Calibri" w:hAnsi="Calibri" w:cs="Times New Roman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A081A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A081A"/>
    <w:rPr>
      <w:rFonts w:ascii="Calibri" w:hAnsi="Calibri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550-8384-46FB-A367-EB37F5E5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 Kodraliu</dc:creator>
  <cp:lastModifiedBy>Senad Kamenica</cp:lastModifiedBy>
  <cp:revision>5</cp:revision>
  <cp:lastPrinted>2014-12-23T16:00:00Z</cp:lastPrinted>
  <dcterms:created xsi:type="dcterms:W3CDTF">2014-12-23T15:58:00Z</dcterms:created>
  <dcterms:modified xsi:type="dcterms:W3CDTF">2014-12-23T16:06:00Z</dcterms:modified>
</cp:coreProperties>
</file>