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52336E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67561" w:rsidRPr="00EF5239" w:rsidRDefault="00D76608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K</w:t>
      </w:r>
      <w:r w:rsidR="00B2242B"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NKM</w:t>
      </w:r>
      <w:r w:rsidR="00E20867"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-201</w:t>
      </w:r>
      <w:r w:rsidR="00B2242B"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3/</w:t>
      </w:r>
      <w:r w:rsidR="0052336E"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06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1789A" w:rsidRPr="00EF5239" w:rsidRDefault="0061789A" w:rsidP="0061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1789A" w:rsidRDefault="0061789A" w:rsidP="0061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Na osnovu člana 3, paragraf 2.5 i 2.6 i clana 26 Zakona Br. 04/L-44 o Nezavisnoj Komisiji za Medije, Komisija usvaja ovu Uredbu. </w:t>
      </w:r>
    </w:p>
    <w:p w:rsidR="0061789A" w:rsidRDefault="0061789A" w:rsidP="0061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1789A" w:rsidRPr="00EF5239" w:rsidRDefault="0061789A" w:rsidP="0061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61789A" w:rsidRDefault="00E20867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</w:pPr>
      <w:r w:rsidRPr="0061789A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 xml:space="preserve">UREDBA O VISINI I NAČINU PLAĆANJA </w:t>
      </w:r>
      <w:r w:rsidR="00B2242B" w:rsidRPr="0061789A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>GODIŠNJE TAKSE ZA LICENCU NKM</w:t>
      </w:r>
      <w:r w:rsidR="0052336E" w:rsidRPr="0061789A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>-a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EF5239" w:rsidP="00523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ČLAN 1</w:t>
      </w:r>
    </w:p>
    <w:p w:rsidR="00667561" w:rsidRPr="00EF5239" w:rsidRDefault="00EF5239" w:rsidP="00523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 xml:space="preserve">SVRHA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2A518A" w:rsidP="0052336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Određivanje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jedinstvene naknade za registraciju u vezi sa apliciranjem za dobijanje </w:t>
      </w:r>
      <w:r w:rsidR="0052336E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licence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za pružanje audiovizuelnih medijskih usluga. </w:t>
      </w:r>
    </w:p>
    <w:p w:rsidR="00667561" w:rsidRPr="00EF5239" w:rsidRDefault="00667561" w:rsidP="0052336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518A" w:rsidRDefault="002A518A" w:rsidP="002A51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Određivanje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v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isin</w:t>
      </w:r>
      <w:r w:rsidR="0061789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jedinstvene naknade </w:t>
      </w:r>
      <w:r w:rsidR="0052336E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za aktivnosti u vezi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registraciju podnosioca zahteva za dobijanje, izmenu ili nastavak </w:t>
      </w:r>
      <w:r w:rsidR="00B2242B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licence NKM 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za pružanje audiovizuelnih medijskih usluga. </w:t>
      </w:r>
    </w:p>
    <w:p w:rsidR="002A518A" w:rsidRPr="002A518A" w:rsidRDefault="002A518A" w:rsidP="002A518A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2A518A" w:rsidRDefault="002A518A" w:rsidP="002A51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Određivanje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v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isin</w:t>
      </w:r>
      <w:r w:rsidR="0061789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i način određivanja godišnje naknade za </w:t>
      </w:r>
      <w:r w:rsidR="00B2242B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licencu svih kategorija vlasnika licenci NKM</w:t>
      </w:r>
      <w:r w:rsidR="0061789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AC4239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licencu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EF5239" w:rsidP="00EF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ČLAN 2</w:t>
      </w:r>
    </w:p>
    <w:p w:rsidR="00B2242B" w:rsidRPr="00EF5239" w:rsidRDefault="00EF5239" w:rsidP="00523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KATEGORIZACIJA AUDIOVIZUELNIH MEDIJSKIH SERVISA SA FREKVENCIJOM</w:t>
      </w:r>
    </w:p>
    <w:p w:rsidR="00B2242B" w:rsidRPr="00EF5239" w:rsidRDefault="00B2242B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55BBE" w:rsidRPr="002A518A" w:rsidRDefault="00B2242B" w:rsidP="002A51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 xml:space="preserve">Kategorija sa nacionalnim porkićem </w:t>
      </w:r>
      <w:r w:rsidR="00E20867"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>se odnosi na audiovizuelne medijske servise koji, preko mreže frekvencija</w:t>
      </w:r>
      <w:r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>, svojim signalom pokrivaju od 90 do 95% teritorije Republike Kosovo;</w:t>
      </w:r>
    </w:p>
    <w:p w:rsidR="00755BBE" w:rsidRPr="00EF5239" w:rsidRDefault="00755BBE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</w:p>
    <w:p w:rsidR="00755BBE" w:rsidRPr="002A518A" w:rsidRDefault="00B2242B" w:rsidP="002A51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 xml:space="preserve">Kategorija sa regionalnim pokrićem </w:t>
      </w:r>
      <w:r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 xml:space="preserve">se odnosi na audiovizuelne medijske servise koji radio-televizijskim signalom, preko frekvencija, pokrivaju više od tri opštine (15-20% </w:t>
      </w:r>
      <w:r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lastRenderedPageBreak/>
        <w:t>teritorije Republike Kosovo) i koje emituju sa visokih predajnih tački nadmorske visine od 500 m</w:t>
      </w:r>
      <w:r w:rsidR="0061789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 xml:space="preserve"> do 700m.</w:t>
      </w:r>
      <w:r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 xml:space="preserve"> </w:t>
      </w:r>
    </w:p>
    <w:p w:rsidR="00755BBE" w:rsidRPr="00EF5239" w:rsidRDefault="00755BBE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</w:p>
    <w:p w:rsidR="00755BBE" w:rsidRPr="002A518A" w:rsidRDefault="00E20867" w:rsidP="002A51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Kategorija sa lokalnim pokrićem</w:t>
      </w:r>
      <w:r w:rsidR="00B2242B"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 xml:space="preserve"> se odnosi na </w:t>
      </w:r>
      <w:r w:rsidR="00AC4239"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>audiovizuelne medijske servise koji svojim radio-televizijskim signalom, preko mreže frekvencija, pokrivaju najviše tri opštine (do 15% teritorije) i emituju sa predajnih tački nižih od 500m nadmorske visine;</w:t>
      </w:r>
    </w:p>
    <w:p w:rsidR="00755BBE" w:rsidRPr="00EF5239" w:rsidRDefault="00755BBE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</w:p>
    <w:p w:rsidR="00755BBE" w:rsidRPr="002A518A" w:rsidRDefault="00E20867" w:rsidP="002A51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Kategorija slabe jačine emitovanja</w:t>
      </w:r>
      <w:r w:rsidR="00AC4239"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 xml:space="preserve"> se odnosi na audiovizuelne medijske servise koji emituju program, preko mreže frekvencija, sa manje od 50W jačine emitovanja i emituju sa predajnih tački nižih od 500</w:t>
      </w:r>
      <w:r w:rsidR="0061789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 xml:space="preserve"> </w:t>
      </w:r>
      <w:r w:rsidR="00AC4239" w:rsidRPr="002A518A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 xml:space="preserve">m nadmorske visine. </w:t>
      </w:r>
    </w:p>
    <w:p w:rsidR="00755BBE" w:rsidRPr="00EF5239" w:rsidRDefault="00755BBE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</w:p>
    <w:p w:rsidR="00755BBE" w:rsidRPr="00EF5239" w:rsidRDefault="00EF5239" w:rsidP="00523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ČLAN 3</w:t>
      </w:r>
    </w:p>
    <w:p w:rsidR="00667561" w:rsidRPr="00EF5239" w:rsidRDefault="00EF5239" w:rsidP="00523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TAKSA ZA APLICIRANJE ZA LICENCU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55BBE" w:rsidRPr="002A518A" w:rsidRDefault="00AC4239" w:rsidP="002A51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Taksa za apliciranje 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će se naplaćivati za registraciju aplikacija definisanih ovom</w:t>
      </w: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E20867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uredbom.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ind w:left="360"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2A518A" w:rsidRDefault="00E20867" w:rsidP="002A51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Podnosilac zahteva za </w:t>
      </w:r>
      <w:r w:rsidR="00AC4239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licencu</w:t>
      </w: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za pružanje audiovizuelnih usluga će, prilikom podnošenja aplikacije, uplatiti paušalnu administrativnu taksu u iznosu od </w:t>
      </w:r>
      <w:r w:rsidR="00CB5C70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pet</w:t>
      </w: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sto (</w:t>
      </w:r>
      <w:r w:rsidR="00CB5C70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5</w:t>
      </w: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00</w:t>
      </w:r>
      <w:r w:rsidR="0052336E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€</w:t>
      </w: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 evra na račun NKM</w:t>
      </w:r>
      <w:r w:rsid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2A518A"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nakon podnošenja zahtjeva</w:t>
      </w:r>
      <w:r w:rsidRPr="002A518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EF5239" w:rsidP="0052336E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Latn-CS"/>
        </w:rPr>
        <w:t>ČLAN 4</w:t>
      </w:r>
    </w:p>
    <w:p w:rsidR="00667561" w:rsidRPr="00EF5239" w:rsidRDefault="00EF5239" w:rsidP="00523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KRITERIJUMI ZA PROCENU GODIŠNJE NAKNADE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FF4E80" w:rsidRDefault="00E20867" w:rsidP="00FF4E8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Kriteriju za procenu godišnje naknade za </w:t>
      </w:r>
      <w:r w:rsidR="00CB5C70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audiovizuelne medijske servise (sa frekvencijom)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se određuju na osnovu: </w:t>
      </w:r>
    </w:p>
    <w:p w:rsidR="00667561" w:rsidRPr="00EF5239" w:rsidRDefault="00667561" w:rsidP="00FF5BA7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FF4E80" w:rsidRDefault="00E20867" w:rsidP="00FF5B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Osnovne određene vrednosti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(A)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– obračunate na osnovu ukupnog godišnjeg budžeta </w:t>
      </w:r>
      <w:r w:rsidR="00CB5C70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audiovizuelnih medijskih servisa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67561" w:rsidRPr="00FF4E80" w:rsidRDefault="00CB5C70" w:rsidP="00FF5B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Broja stanovnika</w:t>
      </w:r>
      <w:r w:rsidR="00E20867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E20867"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(B)</w:t>
      </w:r>
      <w:r w:rsidR="00E20867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67561" w:rsidRPr="00FF4E80" w:rsidRDefault="00E20867" w:rsidP="00FF5B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Vrste </w:t>
      </w:r>
      <w:r w:rsidR="00CB5C70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audiovizuelnog medijskog servisa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(C)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– radio i TV, i </w:t>
      </w:r>
    </w:p>
    <w:p w:rsidR="00667561" w:rsidRPr="00FF4E80" w:rsidRDefault="00E20867" w:rsidP="00FF5B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Kategorije zemaljskog </w:t>
      </w:r>
      <w:r w:rsidR="00CB5C70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subjekta emitovanja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(D)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667561" w:rsidRPr="00EF5239" w:rsidRDefault="00667561" w:rsidP="0052336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FF4E80" w:rsidP="00FF4E8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2.   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Kriteriju za procenu godišnje naknade za operatore </w:t>
      </w:r>
      <w:r w:rsidR="00CB5C70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mreže 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se određuju na osnovu: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FF4E80" w:rsidRDefault="00E20867" w:rsidP="00FF5B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Broja stanovnika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(A)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67561" w:rsidRPr="00FF4E80" w:rsidRDefault="00E20867" w:rsidP="00FF5B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Broja potencijalnih pretplatnika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(B)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67561" w:rsidRPr="00FF4E80" w:rsidRDefault="00E20867" w:rsidP="00FF5B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Proporciji tržišta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(C)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</w:p>
    <w:p w:rsidR="00667561" w:rsidRPr="00FF4E80" w:rsidRDefault="00E20867" w:rsidP="00FF5B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Prosečne pretplatničke cene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(D);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 </w:t>
      </w:r>
    </w:p>
    <w:p w:rsidR="00667561" w:rsidRPr="00FF4E80" w:rsidRDefault="00E20867" w:rsidP="00FF5B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Procenta ukupnog budžeta </w:t>
      </w:r>
      <w:r w:rsidRPr="00FF4E8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(E)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FF4E80" w:rsidP="0052336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3.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Godišnja </w:t>
      </w:r>
      <w:r w:rsidR="00CB5C70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taksa 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za </w:t>
      </w:r>
      <w:r w:rsidR="00CB5C70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audiovizuelne medijske servise (koji emituju preko operatera mreže) 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je jednaka naknadi </w:t>
      </w:r>
      <w:r w:rsidR="00CB5C70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audiovuzelnih medijskih servisa sa frekvencijom, koji pripadaju kategoriji 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sa regionalnim pokrićem.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EF5239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ČLAN 5 </w:t>
      </w:r>
    </w:p>
    <w:p w:rsidR="00667561" w:rsidRPr="00EF5239" w:rsidRDefault="00EF5239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GODIŠNJA TARIFA NAKNADE ZA LICENCU</w:t>
      </w:r>
    </w:p>
    <w:p w:rsidR="00755BBE" w:rsidRPr="00EF5239" w:rsidRDefault="00755BBE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FF4E80" w:rsidRDefault="00E20867" w:rsidP="00FF4E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 xml:space="preserve">Visina godišnje takse </w:t>
      </w:r>
      <w:r w:rsidR="00AC4239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licencu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CB5C70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audiovizuelnih medijskih </w:t>
      </w:r>
      <w:r w:rsidR="0026435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usluga</w:t>
      </w:r>
      <w:r w:rsidR="00CB5C70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medija je </w:t>
      </w:r>
      <w:r w:rsidR="00E2786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definisana kao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 sledećoj tabeli: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22"/>
        <w:gridCol w:w="1322"/>
        <w:gridCol w:w="1322"/>
        <w:gridCol w:w="1322"/>
        <w:gridCol w:w="1322"/>
        <w:gridCol w:w="1322"/>
      </w:tblGrid>
      <w:tr w:rsidR="00667561" w:rsidRPr="00EF5239" w:rsidTr="00667561">
        <w:trPr>
          <w:trHeight w:val="340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Visina zemaljskih elektronskih medija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B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C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D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Godišnji iznos </w:t>
            </w:r>
            <w:r w:rsidR="00E2786A"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 eurima </w:t>
            </w: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(€) </w:t>
            </w:r>
          </w:p>
        </w:tc>
      </w:tr>
      <w:tr w:rsidR="00667561" w:rsidRPr="00EF5239">
        <w:trPr>
          <w:trHeight w:val="548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Radio stanice male snage emitovanja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829.44</w:t>
            </w:r>
          </w:p>
        </w:tc>
      </w:tr>
      <w:tr w:rsidR="00667561" w:rsidRPr="00EF5239">
        <w:trPr>
          <w:trHeight w:val="416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TV male snage emitovanja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FF4E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1105.92</w:t>
            </w:r>
          </w:p>
        </w:tc>
      </w:tr>
      <w:tr w:rsidR="00667561" w:rsidRPr="00EF5239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Lokalne radio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1.5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1728</w:t>
            </w:r>
          </w:p>
        </w:tc>
      </w:tr>
      <w:tr w:rsidR="00667561" w:rsidRPr="00EF5239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Lokalne TV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1.5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2304</w:t>
            </w:r>
          </w:p>
        </w:tc>
      </w:tr>
      <w:tr w:rsidR="00667561" w:rsidRPr="00EF5239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Regionalne radio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1.75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3024</w:t>
            </w:r>
          </w:p>
        </w:tc>
      </w:tr>
      <w:tr w:rsidR="00667561" w:rsidRPr="00EF5239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Regionalne TV stanice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1.75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4032</w:t>
            </w:r>
          </w:p>
        </w:tc>
      </w:tr>
      <w:tr w:rsidR="00E2786A" w:rsidRPr="00EF5239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Nacionalne radio stanice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Del="00E2786A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Del="00E2786A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Del="00E2786A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20736</w:t>
            </w:r>
          </w:p>
        </w:tc>
      </w:tr>
      <w:tr w:rsidR="00E2786A" w:rsidRPr="00EF5239">
        <w:trPr>
          <w:trHeight w:val="28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Nacionalne TV stanice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786A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27648</w:t>
            </w:r>
          </w:p>
        </w:tc>
      </w:tr>
    </w:tbl>
    <w:p w:rsidR="00FF5BA7" w:rsidRDefault="00FF5BA7" w:rsidP="00FF5BA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55BBE" w:rsidRPr="00FF4E80" w:rsidRDefault="00E20867" w:rsidP="0052336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Iznos godi</w:t>
      </w:r>
      <w:r w:rsidR="00E2786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š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nje takse za licencu za operat</w:t>
      </w:r>
      <w:r w:rsidR="00E2786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ore mreže će se obračunati za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za svaku op</w:t>
      </w:r>
      <w:r w:rsidR="00E2786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š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tinu i kadast</w:t>
      </w:r>
      <w:r w:rsidR="00E2786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rsku zonu </w:t>
      </w:r>
      <w:r w:rsidR="00E2786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 kojoj je operater mreže distribuirao svoju mrežu za pružanje audiovizuelnih medijskih usluga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r w:rsid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V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isina godišnje takse za kablovske operatore je </w:t>
      </w:r>
      <w:r w:rsidR="00E2786A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definisana kao i u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 sledećoj tabeli: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68"/>
        <w:gridCol w:w="2520"/>
        <w:gridCol w:w="720"/>
        <w:gridCol w:w="720"/>
        <w:gridCol w:w="720"/>
        <w:gridCol w:w="1140"/>
        <w:gridCol w:w="1198"/>
      </w:tblGrid>
      <w:tr w:rsidR="00667561" w:rsidRPr="00EF5239" w:rsidTr="00D0260D">
        <w:trPr>
          <w:trHeight w:val="36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Opštine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A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B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C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D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Godišnja naknada</w:t>
            </w:r>
            <w:r w:rsidR="00D0260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u Evra (€)</w:t>
            </w: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 </w:t>
            </w:r>
          </w:p>
        </w:tc>
      </w:tr>
      <w:tr w:rsidR="00667561" w:rsidRPr="00EF5239" w:rsidTr="00D0260D">
        <w:trPr>
          <w:trHeight w:val="1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Priština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D02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205133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7955</w:t>
            </w:r>
          </w:p>
        </w:tc>
      </w:tr>
      <w:tr w:rsidR="00667561" w:rsidRPr="00EF5239" w:rsidTr="00D0260D">
        <w:trPr>
          <w:trHeight w:val="13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Prizren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D02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181756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6.3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5640</w:t>
            </w:r>
          </w:p>
        </w:tc>
      </w:tr>
      <w:tr w:rsidR="00667561" w:rsidRPr="00EF5239" w:rsidTr="00D0260D">
        <w:trPr>
          <w:trHeight w:val="708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Uroševac, Mitrovica, Peć, Gnjilane, Đakovica, Podujevo</w:t>
            </w:r>
            <w:r w:rsidR="00D0260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, Vucitrn, Glogovac, </w:t>
            </w:r>
            <w:r w:rsidR="00D0260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Ljipljan, Orahovac, Srbice, Suva Reka, Malisevo</w:t>
            </w: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D02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80000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3400</w:t>
            </w:r>
          </w:p>
        </w:tc>
      </w:tr>
      <w:tr w:rsidR="00667561" w:rsidRPr="00EF5239" w:rsidTr="00D0260D">
        <w:trPr>
          <w:trHeight w:val="478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Ostale opštine i kadstarlse zone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D02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35000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0867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0.75%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561" w:rsidRPr="00EF5239" w:rsidRDefault="00E2786A" w:rsidP="0052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951</w:t>
            </w:r>
          </w:p>
        </w:tc>
      </w:tr>
    </w:tbl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67561" w:rsidRPr="00FF4E80" w:rsidRDefault="00E20867" w:rsidP="00D026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Godišnja </w:t>
      </w:r>
      <w:r w:rsidR="00024371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taksa audiovizuelnih medijskih servisa (TV) koje deluju preko operatera mreže, koji ne koriste  frekvencije,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će biti jednaka godišnjoj naknadi određenoj za </w:t>
      </w:r>
      <w:r w:rsidR="00024371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audiovizuelne medijske servise (TV) koji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pripadaju kategoriji regionalnog pokrića (</w:t>
      </w:r>
      <w:r w:rsidR="00024371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4,032.00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evra); i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FF4E80" w:rsidRDefault="00E20867" w:rsidP="00D026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Godišnja </w:t>
      </w:r>
      <w:r w:rsidR="00024371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taksa za audiovizuelne medijske servise (radio stanice) koje deluju preko operatera mreže, koji ne koriste frekvencije, 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će biti jednaka godišnjoj </w:t>
      </w:r>
      <w:r w:rsidR="00024371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taksi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određenoj za </w:t>
      </w:r>
      <w:r w:rsidR="00024371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audiovizuelne medijske servise sa frekvencijom (radio stanice)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koji pripadaju kategoriji regionalnog pokrića (</w:t>
      </w:r>
      <w:r w:rsidR="00024371"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3,024.00</w:t>
      </w:r>
      <w:r w:rsidRPr="00FF4E8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evra). </w:t>
      </w:r>
    </w:p>
    <w:p w:rsidR="00024371" w:rsidRPr="00EF5239" w:rsidRDefault="0002437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024371" w:rsidRPr="00EF5239" w:rsidRDefault="0002437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67561" w:rsidRPr="00EF5239" w:rsidRDefault="00EF5239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ČLAN 6</w:t>
      </w:r>
    </w:p>
    <w:p w:rsidR="00667561" w:rsidRPr="00EF5239" w:rsidRDefault="00EF5239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NAČIN PLAĆANJA GODIŠNJE NAKNADE</w:t>
      </w:r>
    </w:p>
    <w:p w:rsidR="00024371" w:rsidRPr="00EF5239" w:rsidRDefault="0002437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D0260D" w:rsidRDefault="00E20867" w:rsidP="00D026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Godišnja naknada za </w:t>
      </w:r>
      <w:r w:rsidR="00AC4239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licencu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024371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za sve kategorije vlasnika licenci NKM,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će se uplaćivati jednom godišnje na račun Nezavisne komisije za medije, </w:t>
      </w:r>
      <w:r w:rsidR="00024371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najkasnije 31. januara tekuće godine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667561" w:rsidRPr="00EF5239" w:rsidRDefault="00667561" w:rsidP="00D0260D">
      <w:pPr>
        <w:autoSpaceDE w:val="0"/>
        <w:autoSpaceDN w:val="0"/>
        <w:adjustRightInd w:val="0"/>
        <w:spacing w:after="0" w:line="240" w:lineRule="auto"/>
        <w:ind w:left="45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D0260D" w:rsidRDefault="00E20867" w:rsidP="00D026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 slučaju izdavanja dozvole</w:t>
      </w:r>
      <w:r w:rsidR="00024371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prva godišnja </w:t>
      </w:r>
      <w:r w:rsidR="00024371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taksa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za </w:t>
      </w:r>
      <w:r w:rsidR="00AC4239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licencu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će se platiti najkasnije 14 dana od prijema odluke o dozvoli</w:t>
      </w:r>
      <w:r w:rsidR="00024371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a obračunavanje godišnje takse za licenu će početi od meseca kada se donese odluka o licenciranju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667561" w:rsidRPr="00EF5239" w:rsidRDefault="00667561" w:rsidP="00D0260D">
      <w:pPr>
        <w:autoSpaceDE w:val="0"/>
        <w:autoSpaceDN w:val="0"/>
        <w:adjustRightInd w:val="0"/>
        <w:spacing w:after="0" w:line="240" w:lineRule="auto"/>
        <w:ind w:left="45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D0260D" w:rsidRDefault="00E20867" w:rsidP="00D026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Ukoliko </w:t>
      </w:r>
      <w:r w:rsidR="00024371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vlasnici licecni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ne informišu Nezavisnu komisiju za medije da ne planiraju da nastave sa </w:t>
      </w:r>
      <w:r w:rsidR="00856D30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sprovođenjem svoje delatnosti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finansijske odgovornosti za </w:t>
      </w:r>
      <w:r w:rsidR="00AC4239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licencu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će važiti od momenta prijema pismenog obaveštenja</w:t>
      </w:r>
      <w:r w:rsidR="00856D30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 vlasnik licence odustaje od iste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:rsidR="00667561" w:rsidRPr="00EF5239" w:rsidRDefault="00667561" w:rsidP="00D0260D">
      <w:pPr>
        <w:autoSpaceDE w:val="0"/>
        <w:autoSpaceDN w:val="0"/>
        <w:adjustRightInd w:val="0"/>
        <w:spacing w:after="0" w:line="240" w:lineRule="auto"/>
        <w:ind w:left="45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0260D" w:rsidRDefault="00856D30" w:rsidP="005233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Iako </w:t>
      </w:r>
      <w:r w:rsidR="00E20867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vlasnik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licence </w:t>
      </w:r>
      <w:r w:rsidR="00E20867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prekine sa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sprovođenjem delatnosti </w:t>
      </w:r>
      <w:r w:rsidR="00E20867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pre isteka perioda za koji je uplaćena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taksa</w:t>
      </w:r>
      <w:r w:rsidR="00E20867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deo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takse </w:t>
      </w:r>
      <w:r w:rsidR="00E20867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koji se odnosi na preostali period neće biti vraćen.</w:t>
      </w:r>
    </w:p>
    <w:p w:rsidR="00D0260D" w:rsidRPr="00D0260D" w:rsidRDefault="00D0260D" w:rsidP="00D0260D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56D30" w:rsidRPr="00D0260D" w:rsidRDefault="00856D30" w:rsidP="005233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U slučaju ne plaćanja takse za licencu, u datom periodu, NKM će preduezti sve zakonom predviđene mere za oduzimanje licence. </w:t>
      </w:r>
    </w:p>
    <w:p w:rsidR="00856D30" w:rsidRPr="00EF5239" w:rsidRDefault="00856D30" w:rsidP="0052336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E20867" w:rsidP="0052336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</w:p>
    <w:p w:rsidR="00667561" w:rsidRPr="00EF5239" w:rsidRDefault="00EF5239" w:rsidP="00D0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ČLAN </w:t>
      </w:r>
      <w:r w:rsidR="00FF5BA7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7</w:t>
      </w:r>
    </w:p>
    <w:p w:rsidR="00667561" w:rsidRPr="00EF5239" w:rsidRDefault="00EF5239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PRELAZNE ODREDBE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56D30" w:rsidRPr="00D0260D" w:rsidRDefault="00856D30" w:rsidP="00D0260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Stupanjem na snagu ove uredbe, Uredba SNKM – 2010/02 se ukida</w:t>
      </w:r>
      <w:r w:rsidR="00E20867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856D30" w:rsidRPr="00EF5239" w:rsidRDefault="00856D30" w:rsidP="0052336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D0260D" w:rsidRDefault="00856D30" w:rsidP="00D0260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>Vlasnici licenci NKM koji nisu uplatili taksu za licencu na vreme, su dužni da u roku od mesec</w:t>
      </w:r>
      <w:r w:rsidR="00D0260D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dana od stupanja na snagu ove Uredbe ispune sve svoje obaveze povezane sa taksom za licencu,</w:t>
      </w:r>
      <w:r w:rsidR="00D0260D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 suprtonom će NKM preduzeti zakonske mere u skladu sa Članom 30. Zakona o NKM i</w:t>
      </w:r>
      <w:r w:rsidR="00D0260D"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D0260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Članom 5.6 ove Uredbe. </w:t>
      </w:r>
    </w:p>
    <w:p w:rsidR="00667561" w:rsidRPr="00EF5239" w:rsidRDefault="00667561" w:rsidP="0026435A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EF5239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ČLAN </w:t>
      </w:r>
      <w:r w:rsidR="00FF5BA7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8</w:t>
      </w:r>
    </w:p>
    <w:p w:rsidR="00667561" w:rsidRPr="00EF5239" w:rsidRDefault="00EF5239" w:rsidP="00264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  <w:t>STUPANJE NA SNAGU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6435A" w:rsidRPr="00EF5239" w:rsidRDefault="0026435A" w:rsidP="0026435A">
      <w:pPr>
        <w:pStyle w:val="NormalWeb"/>
        <w:ind w:hanging="90"/>
        <w:jc w:val="left"/>
        <w:rPr>
          <w:rFonts w:ascii="Times New Roman" w:hAnsi="Times New Roman" w:cs="Times New Roman"/>
          <w:lang w:val="sr-Cyrl-BA"/>
        </w:rPr>
      </w:pPr>
      <w:r w:rsidRPr="00EF5239">
        <w:rPr>
          <w:rFonts w:ascii="Times New Roman" w:hAnsi="Times New Roman" w:cs="Times New Roman"/>
          <w:lang w:val="sr-Cyrl-BA"/>
        </w:rPr>
        <w:t>Ova</w:t>
      </w:r>
      <w:r w:rsidRPr="00EF52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5239">
        <w:rPr>
          <w:rFonts w:ascii="Times New Roman" w:hAnsi="Times New Roman" w:cs="Times New Roman"/>
          <w:lang w:val="en-US"/>
        </w:rPr>
        <w:t>uredba</w:t>
      </w:r>
      <w:proofErr w:type="spellEnd"/>
      <w:r w:rsidRPr="00EF5239">
        <w:rPr>
          <w:rFonts w:ascii="Times New Roman" w:hAnsi="Times New Roman" w:cs="Times New Roman"/>
          <w:lang w:val="sr-Cyrl-BA"/>
        </w:rPr>
        <w:t xml:space="preserve"> stupa na snagu 8 dana nakon potpisivanja. </w:t>
      </w:r>
    </w:p>
    <w:p w:rsidR="00667561" w:rsidRPr="00EF5239" w:rsidRDefault="00667561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56D30" w:rsidRPr="00EF5239" w:rsidRDefault="00856D30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56D30" w:rsidRPr="00EF5239" w:rsidRDefault="00856D30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E20867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__________________ </w:t>
      </w:r>
      <w:r w:rsid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__________________ </w:t>
      </w:r>
    </w:p>
    <w:p w:rsidR="00EF5239" w:rsidRDefault="00EF5239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67561" w:rsidRPr="00EF5239" w:rsidRDefault="00856D30" w:rsidP="005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Shefki Ukaj</w:t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E20867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Datum </w:t>
      </w:r>
    </w:p>
    <w:p w:rsidR="00856D30" w:rsidRPr="00EF5239" w:rsidRDefault="00856D30" w:rsidP="005233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Predsednik</w:t>
      </w:r>
      <w:r w:rsidR="0026435A" w:rsidRPr="00EF523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61009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NKM-a</w:t>
      </w:r>
    </w:p>
    <w:sectPr w:rsidR="00856D30" w:rsidRPr="00EF5239" w:rsidSect="00FF4E80">
      <w:headerReference w:type="default" r:id="rId9"/>
      <w:footerReference w:type="default" r:id="rId10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C2" w:rsidRDefault="003001C2" w:rsidP="0026435A">
      <w:pPr>
        <w:spacing w:after="0" w:line="240" w:lineRule="auto"/>
      </w:pPr>
      <w:r>
        <w:separator/>
      </w:r>
    </w:p>
  </w:endnote>
  <w:endnote w:type="continuationSeparator" w:id="0">
    <w:p w:rsidR="003001C2" w:rsidRDefault="003001C2" w:rsidP="0026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33496"/>
      <w:docPartObj>
        <w:docPartGallery w:val="Page Numbers (Bottom of Page)"/>
        <w:docPartUnique/>
      </w:docPartObj>
    </w:sdtPr>
    <w:sdtContent>
      <w:p w:rsidR="00B562CD" w:rsidRDefault="00BA237B">
        <w:pPr>
          <w:pStyle w:val="Footer"/>
          <w:jc w:val="center"/>
        </w:pPr>
        <w:fldSimple w:instr=" PAGE   \* MERGEFORMAT ">
          <w:r w:rsidR="00BA59E8">
            <w:rPr>
              <w:noProof/>
            </w:rPr>
            <w:t>4</w:t>
          </w:r>
        </w:fldSimple>
      </w:p>
    </w:sdtContent>
  </w:sdt>
  <w:p w:rsidR="0026435A" w:rsidRDefault="00264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C2" w:rsidRDefault="003001C2" w:rsidP="0026435A">
      <w:pPr>
        <w:spacing w:after="0" w:line="240" w:lineRule="auto"/>
      </w:pPr>
      <w:r>
        <w:separator/>
      </w:r>
    </w:p>
  </w:footnote>
  <w:footnote w:type="continuationSeparator" w:id="0">
    <w:p w:rsidR="003001C2" w:rsidRDefault="003001C2" w:rsidP="0026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33494"/>
      <w:docPartObj>
        <w:docPartGallery w:val="Watermarks"/>
        <w:docPartUnique/>
      </w:docPartObj>
    </w:sdtPr>
    <w:sdtContent>
      <w:p w:rsidR="0026435A" w:rsidRDefault="00BA237B">
        <w:pPr>
          <w:pStyle w:val="Header"/>
        </w:pPr>
        <w:r w:rsidRPr="00BA237B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12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A0B"/>
    <w:multiLevelType w:val="hybridMultilevel"/>
    <w:tmpl w:val="9F5CF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2C02"/>
    <w:multiLevelType w:val="multilevel"/>
    <w:tmpl w:val="40381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B74D51"/>
    <w:multiLevelType w:val="hybridMultilevel"/>
    <w:tmpl w:val="DE003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0AFB"/>
    <w:multiLevelType w:val="hybridMultilevel"/>
    <w:tmpl w:val="7FA662D0"/>
    <w:lvl w:ilvl="0" w:tplc="4D7C1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6F9C"/>
    <w:multiLevelType w:val="multilevel"/>
    <w:tmpl w:val="40381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005211A"/>
    <w:multiLevelType w:val="multilevel"/>
    <w:tmpl w:val="40381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0B45E69"/>
    <w:multiLevelType w:val="hybridMultilevel"/>
    <w:tmpl w:val="45F09F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497"/>
    <w:multiLevelType w:val="hybridMultilevel"/>
    <w:tmpl w:val="8878E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D73F4"/>
    <w:multiLevelType w:val="multilevel"/>
    <w:tmpl w:val="40381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76C6C3B"/>
    <w:multiLevelType w:val="hybridMultilevel"/>
    <w:tmpl w:val="01D6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A07D6"/>
    <w:multiLevelType w:val="hybridMultilevel"/>
    <w:tmpl w:val="9056CC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C01203"/>
    <w:multiLevelType w:val="hybridMultilevel"/>
    <w:tmpl w:val="461AB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159A8"/>
    <w:multiLevelType w:val="hybridMultilevel"/>
    <w:tmpl w:val="73A053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58724D"/>
    <w:multiLevelType w:val="hybridMultilevel"/>
    <w:tmpl w:val="A8B49570"/>
    <w:lvl w:ilvl="0" w:tplc="4D7C1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35879"/>
    <w:multiLevelType w:val="hybridMultilevel"/>
    <w:tmpl w:val="C45C7D2E"/>
    <w:lvl w:ilvl="0" w:tplc="4D7C1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667561"/>
    <w:rsid w:val="00023039"/>
    <w:rsid w:val="00024371"/>
    <w:rsid w:val="000E1FBF"/>
    <w:rsid w:val="001156F1"/>
    <w:rsid w:val="001D3F78"/>
    <w:rsid w:val="0026435A"/>
    <w:rsid w:val="002A518A"/>
    <w:rsid w:val="003001C2"/>
    <w:rsid w:val="00300B33"/>
    <w:rsid w:val="003E79AA"/>
    <w:rsid w:val="0052336E"/>
    <w:rsid w:val="005C335A"/>
    <w:rsid w:val="005C7D0F"/>
    <w:rsid w:val="0061009F"/>
    <w:rsid w:val="0061789A"/>
    <w:rsid w:val="0062569E"/>
    <w:rsid w:val="00651447"/>
    <w:rsid w:val="00667561"/>
    <w:rsid w:val="007317CC"/>
    <w:rsid w:val="00755BBE"/>
    <w:rsid w:val="007C7E75"/>
    <w:rsid w:val="00856D30"/>
    <w:rsid w:val="00AB58FD"/>
    <w:rsid w:val="00AC4239"/>
    <w:rsid w:val="00B2242B"/>
    <w:rsid w:val="00B31CBD"/>
    <w:rsid w:val="00B562CD"/>
    <w:rsid w:val="00BA237B"/>
    <w:rsid w:val="00BA59E8"/>
    <w:rsid w:val="00CB5C70"/>
    <w:rsid w:val="00D0260D"/>
    <w:rsid w:val="00D76608"/>
    <w:rsid w:val="00E20867"/>
    <w:rsid w:val="00E2786A"/>
    <w:rsid w:val="00EF5239"/>
    <w:rsid w:val="00F36C84"/>
    <w:rsid w:val="00FF4E80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61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67561"/>
    <w:pPr>
      <w:ind w:left="720"/>
      <w:contextualSpacing/>
    </w:pPr>
  </w:style>
  <w:style w:type="paragraph" w:styleId="NormalWeb">
    <w:name w:val="Normal (Web)"/>
    <w:basedOn w:val="Normal"/>
    <w:link w:val="NormalWebChar"/>
    <w:rsid w:val="0026435A"/>
    <w:pPr>
      <w:tabs>
        <w:tab w:val="left" w:pos="0"/>
        <w:tab w:val="left" w:pos="108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locked/>
    <w:rsid w:val="0026435A"/>
    <w:rPr>
      <w:rFonts w:ascii="Arial Unicode MS" w:eastAsia="Times New Roman" w:hAnsi="Arial Unicode MS" w:cs="Arial Unicode MS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26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35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6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5A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2AA4A-A502-460A-B724-2CC6EB4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2</cp:revision>
  <dcterms:created xsi:type="dcterms:W3CDTF">2013-12-06T15:19:00Z</dcterms:created>
  <dcterms:modified xsi:type="dcterms:W3CDTF">2013-12-06T15:19:00Z</dcterms:modified>
</cp:coreProperties>
</file>